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58" w:rsidRPr="00D7228E" w:rsidRDefault="006C5576" w:rsidP="00D72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DD6258" w:rsidRPr="00D7228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Pokyny pro příjemce ke kontrole </w:t>
      </w:r>
    </w:p>
    <w:p w:rsidR="00DD6258" w:rsidRPr="0020456C" w:rsidRDefault="00DD6258" w:rsidP="00D72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pro programy:</w:t>
      </w: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CENTRAL EUROPE, </w:t>
      </w:r>
      <w:proofErr w:type="spellStart"/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DANUBE a </w:t>
      </w:r>
      <w:proofErr w:type="spellStart"/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EUROPE</w:t>
      </w: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proofErr w:type="gramStart"/>
      <w:r w:rsidR="0086713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</w:t>
      </w:r>
      <w:r w:rsidRPr="0020456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erze</w:t>
      </w:r>
      <w:r w:rsidR="005324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2</w:t>
      </w:r>
      <w:r w:rsidRPr="0020456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– </w:t>
      </w:r>
      <w:r w:rsidR="00D3286B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2B653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4</w:t>
      </w:r>
      <w:r w:rsidR="00D3286B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. </w:t>
      </w:r>
      <w:r w:rsidR="002B653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listopad</w:t>
      </w:r>
      <w:proofErr w:type="gramEnd"/>
      <w:r w:rsidR="00D3286B" w:rsidRPr="0020456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2016</w:t>
      </w:r>
    </w:p>
    <w:p w:rsidR="00DD6258" w:rsidRPr="0020456C" w:rsidRDefault="00DD6258" w:rsidP="002045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20456C" w:rsidRDefault="00DD6258" w:rsidP="002045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D7228E" w:rsidRDefault="00DD6258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TOC \h \z \t "Styl1;1" </w:instrTex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hyperlink w:anchor="_Toc445447258" w:history="1">
        <w:r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1.</w:t>
        </w:r>
        <w:r w:rsidRPr="0020456C">
          <w:rPr>
            <w:rFonts w:eastAsiaTheme="minorEastAsia" w:cs="Times New Roman"/>
            <w:noProof/>
            <w:lang w:eastAsia="cs-CZ"/>
          </w:rPr>
          <w:tab/>
        </w:r>
        <w:r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Úvod</w:t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_Toc445447258 \h </w:instrText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</w:t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BC0FF0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59" w:history="1">
        <w:r w:rsidR="00DD6258" w:rsidRPr="0020456C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eastAsia="cs-CZ"/>
          </w:rPr>
          <w:t>2.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eastAsia="cs-CZ"/>
          </w:rPr>
          <w:t>Předmět kontroly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_Toc445447259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5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BC0FF0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60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3.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Výběr dodavatele, zadávací a výběrová řízení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_Toc445447260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7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BC0FF0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61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4.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Způsobilost výdajů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_Toc445447261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11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BC0FF0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5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5.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Publicita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_Toc445447285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13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BC0FF0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6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6.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Postup předkládání zprávy o průběhu projektu a výdajů ke kontrole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_Toc445447286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16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BC0FF0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7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7.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Účetnictví a povinnost archivace účetních dokladů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_Toc445447287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20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BC0FF0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8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8.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Odvolání se proti výsledku kontroly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_Toc445447288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20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BC0FF0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90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9.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Seznam příloh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_Toc445447290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21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BC0FF0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91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10.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Seznam revizí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_Toc445447291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21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D7228E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Zkratky: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 –  program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Nadnárodní spolupráce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CENTRAL EUROPE</w:t>
      </w:r>
    </w:p>
    <w:p w:rsidR="00644F4C" w:rsidRPr="0020456C" w:rsidRDefault="00644F4C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893B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/Kontrolor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Centrum pro regionální rozvoj České republiky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DANUBE – program Nadnárodní spolupráce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EFRR/ERDF – Evropský fond pro regionální rozvoj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 – program Meziregionální spolupráce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EUROPE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LP- vedoucí partner (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Partner)</w:t>
      </w:r>
    </w:p>
    <w:p w:rsidR="00644F4C" w:rsidRPr="0020456C" w:rsidRDefault="00644F4C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MMR – Ministerstvo pro místní rozvoj</w:t>
      </w:r>
      <w:r w:rsidR="005C0C9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4E6B" w:rsidRPr="0020456C" w:rsidRDefault="00004E6B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MV – monitorovací výbor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PP – projektový partner</w:t>
      </w:r>
    </w:p>
    <w:p w:rsidR="00733506" w:rsidRPr="0020456C" w:rsidRDefault="00733506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ŘO – řídící orgán</w:t>
      </w:r>
    </w:p>
    <w:p w:rsidR="00E55137" w:rsidRPr="0020456C" w:rsidRDefault="00E55137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WP –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(pracovní balíček)</w:t>
      </w:r>
    </w:p>
    <w:p w:rsidR="00004E6B" w:rsidRPr="0020456C" w:rsidRDefault="00004E6B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ZŘ – zadávací řízení</w:t>
      </w:r>
    </w:p>
    <w:p w:rsidR="00733506" w:rsidRPr="0020456C" w:rsidRDefault="00733506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Toc445447258"/>
      <w:r w:rsidRPr="002045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Úvod</w:t>
      </w:r>
      <w:bookmarkEnd w:id="0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 pro regionální rozvoj České Republiky (</w:t>
      </w:r>
      <w:r w:rsidR="00837E8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893B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/Kontrolor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 je Ministerstvem pro místní rozvoj (</w:t>
      </w:r>
      <w:r w:rsidR="006C557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národním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koordinátorem) pověřeno výkonem tzv. kontroly u CZ partnerů dle čl. 23 Nařízení EP a Rady (EU) č. 1299/2013 pro programy CENTRAL, DANUBE a IE.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Systém kontroly je v České republice centralizovaný,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provádění kontroly Centrem je pro projektové (</w:t>
      </w:r>
      <w:proofErr w:type="gram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PP) i  vedoucí</w:t>
      </w:r>
      <w:proofErr w:type="gram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(LP) partnery bezplatné. Kontaktními místy </w:t>
      </w:r>
      <w:r w:rsidR="00837E80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příjemce jsou tato oddělení pro NUTS II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532416" w:rsidRDefault="00DD6258" w:rsidP="0020456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Centra pro regionální rozvoj České republiky pro NUTS II Severovýchod se sídlem v Hradci Králové (pro partnery z Čech)</w:t>
      </w:r>
    </w:p>
    <w:p w:rsidR="004C0D52" w:rsidRPr="0020456C" w:rsidRDefault="004C0D52" w:rsidP="00532416">
      <w:pPr>
        <w:spacing w:after="160" w:line="259" w:lineRule="auto"/>
        <w:ind w:left="780"/>
        <w:contextualSpacing/>
        <w:jc w:val="both"/>
        <w:rPr>
          <w:rFonts w:eastAsia="Times New Roman" w:cs="Times New Roman"/>
        </w:rPr>
      </w:pPr>
    </w:p>
    <w:p w:rsidR="00DD6258" w:rsidRPr="0020456C" w:rsidRDefault="00DD6258" w:rsidP="0020456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Centra pro regionální rozvoj České republiky pro NUTS II </w:t>
      </w:r>
      <w:proofErr w:type="spellStart"/>
      <w:r w:rsid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Moravskoslezsko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sídlem v Ostravě (pro partnery z Moravy a Slezska) </w:t>
      </w:r>
    </w:p>
    <w:p w:rsidR="00D7368C" w:rsidRPr="00D7228E" w:rsidRDefault="00D7368C" w:rsidP="0020456C">
      <w:pPr>
        <w:spacing w:after="160" w:line="259" w:lineRule="auto"/>
        <w:ind w:left="780"/>
        <w:contextualSpacing/>
        <w:jc w:val="both"/>
        <w:rPr>
          <w:rFonts w:eastAsia="Times New Roman" w:cs="Times New Roman"/>
        </w:rPr>
      </w:pPr>
    </w:p>
    <w:p w:rsidR="00DD6258" w:rsidRPr="0020456C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Kontakty na jednotlivé poboč</w:t>
      </w:r>
      <w:r w:rsidR="003C3981">
        <w:rPr>
          <w:rFonts w:ascii="Times New Roman" w:eastAsia="Times New Roman" w:hAnsi="Times New Roman" w:cs="Times New Roman"/>
          <w:sz w:val="24"/>
          <w:szCs w:val="24"/>
          <w:lang w:eastAsia="cs-CZ"/>
        </w:rPr>
        <w:t>ky a kontrolory jsou uvedeny v </w:t>
      </w:r>
      <w:r w:rsidR="0018560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říloze č. 3.</w:t>
      </w:r>
    </w:p>
    <w:p w:rsidR="00DD6258" w:rsidRPr="0020456C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Kontrola bude prováděna zpravidla </w:t>
      </w:r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každé </w:t>
      </w:r>
      <w:proofErr w:type="spellStart"/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</w:t>
      </w:r>
      <w:proofErr w:type="spellEnd"/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období, </w:t>
      </w:r>
      <w:proofErr w:type="gramStart"/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tedy</w:t>
      </w:r>
      <w:r w:rsidR="005324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6-ti</w:t>
      </w:r>
      <w:proofErr w:type="gramEnd"/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měsíčních cyklech.</w:t>
      </w:r>
      <w:r w:rsidR="0000170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období se určují v závislosti na datu schválení projektu monitorovacím výborem</w:t>
      </w:r>
      <w:r w:rsidR="00004E6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MV)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příslušného programu. V souladu s požadavky jednotlivých programů na podávání zpráv o průběhu projektu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tzv.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</w:t>
      </w:r>
      <w:r w:rsidR="0073350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73350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o průběhu projektu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Financial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periods</w:t>
      </w:r>
      <w:proofErr w:type="spellEnd"/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(Finanční zpráva)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 ve smlouvě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splněna i další pravidla (týkající se objemu nárokovaných výdajů)</w:t>
      </w:r>
      <w:r w:rsidR="00837E8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Tyto Pokyny nemají za cíl opakovat požadavky uvedené v dokumentaci jednotlivých programů, ale řeší oblasti, které nejsou v </w:t>
      </w:r>
      <w:r w:rsidR="007D17D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programových dokumentech blíže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popsány. Pokyny </w:t>
      </w:r>
      <w:r w:rsidR="009D016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jiné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určují </w:t>
      </w:r>
      <w:r w:rsidR="009D016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vycházející z národních specifik. Kromě Pokynů a jejich příloh je nutné seznámit</w:t>
      </w:r>
      <w:r w:rsidR="0061351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77B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 těmito základními dokumenty: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EUROPE: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9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Programový manuál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(zvláště část 6 a 7)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CENTRAL EUROPE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0" w:history="1">
        <w:proofErr w:type="spellStart"/>
        <w:r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493276"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493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1" w:history="1">
        <w:proofErr w:type="spellStart"/>
        <w:r w:rsidR="00493276" w:rsidRPr="004932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Application</w:t>
        </w:r>
        <w:proofErr w:type="spellEnd"/>
        <w:r w:rsidR="00493276" w:rsidRPr="004932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493276" w:rsidRPr="004932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:rsidR="00DD6258" w:rsidRPr="0020456C" w:rsidRDefault="00DD6258" w:rsidP="0020456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DANUBE: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2" w:history="1">
        <w:r w:rsidR="006D4345"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</w:t>
        </w:r>
        <w:r w:rsidR="001A089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ject</w:t>
        </w:r>
        <w:r w:rsidR="006D4345"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6D4345"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="006D4345"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D9539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  <w:r w:rsidR="00D9539F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D9539F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="00D9539F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9539F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programech CENTRAL, DANUBE a IE platí pravidlo tzv. zpětného financování – ex-post. To znamená, že dotace se proplácí za výdaje, které byly příjemci již vynaloženy a následně </w:t>
      </w:r>
      <w:r w:rsidR="006D434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ontrolorem zkontrolovány. Zálohové platby z prostředků strukturálních fondů ani státního rozpočtu ČR se v programovém období 2014-2020 neposkytují. Zároveň se českým příjemcům neposkytuje spolufinancování projektu ze státního rozpočtu ČR.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Důležité upozornění: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Centrum není povinno vyzývat české partnery </w:t>
      </w:r>
      <w:r w:rsidR="006D434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apojené do těchto programů k předložení dokladů ke kontrole. Ukončení kontroly je garantováno do 60 kalendářních dnů od předložení </w:t>
      </w:r>
      <w:r w:rsidRPr="002045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všech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a podpůrných dokumentů vztahujících se k předmětné kontrol</w:t>
      </w:r>
      <w:r w:rsidR="004C64C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předložit všechny dokumenty a podklady ke kontrole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15 dní od konce každého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reportovacího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aby LP mohl předložit souhrnnou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reports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žádost o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platbu za celý projekt do 3 měsíců od konce každého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nepředložení</w:t>
      </w:r>
      <w:r w:rsidR="003E5BF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a dokumentů ke kontrole ze strany příjemců do 15 dní od konce </w:t>
      </w:r>
      <w:proofErr w:type="spellStart"/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5538B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neručí</w:t>
      </w:r>
      <w:r w:rsidR="005538B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Centrum, že bude kontrola ukončena do 3 měsíců od konce </w:t>
      </w:r>
      <w:proofErr w:type="spellStart"/>
      <w:r w:rsidR="005538B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5538B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212C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026D" w:rsidRDefault="00AD026D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26D" w:rsidRPr="0020456C" w:rsidRDefault="00AD026D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3A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U programu CENTRAL</w:t>
      </w:r>
      <w:r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má LP povinnost předložit celkovou zprávu za projekt (Joint </w:t>
      </w:r>
      <w:proofErr w:type="spellStart"/>
      <w:r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Progress</w:t>
      </w:r>
      <w:proofErr w:type="spellEnd"/>
      <w:r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Report) do 2 měsíců od konce jednotlivého </w:t>
      </w:r>
      <w:proofErr w:type="spellStart"/>
      <w:r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reportovacího</w:t>
      </w:r>
      <w:proofErr w:type="spellEnd"/>
      <w:r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období. </w:t>
      </w:r>
      <w:r w:rsidR="002E7A1F"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Tímto však nejsou dotčeny lhůty uvedené výše pro CZ partnery. LP může předložit „neúplnou Joint </w:t>
      </w:r>
      <w:proofErr w:type="spellStart"/>
      <w:r w:rsidR="002E7A1F"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Progress</w:t>
      </w:r>
      <w:proofErr w:type="spellEnd"/>
      <w:r w:rsidR="002E7A1F"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Report“, která může být v rámci lhůt uvedených výše doplněna o podklady od CZ partnerů.</w:t>
      </w:r>
      <w:r w:rsidR="002E7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Čeští partneři předkládají výdaje ke kontrole/certifikaci zpravidla za každé monitorovací období</w:t>
      </w:r>
      <w:r w:rsidR="006055A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="006055A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tedy v 6-ti</w:t>
      </w:r>
      <w:proofErr w:type="gramEnd"/>
      <w:r w:rsidR="006055A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měsíčních cyklech,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(uvedená v 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 to za předpokladu, že </w:t>
      </w:r>
      <w:r w:rsidR="00CC6C4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byly vynaloženy a za podmínky, že: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750B6F" w:rsidP="0020456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zprávě budou &gt; 7.500 € pro CENTRAL;</w:t>
      </w:r>
    </w:p>
    <w:p w:rsidR="00DD6258" w:rsidRPr="0020456C" w:rsidRDefault="00750B6F" w:rsidP="0020456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zprávě budou &gt; 7.500 € pro DANUBE;</w:t>
      </w:r>
    </w:p>
    <w:p w:rsidR="00DD6258" w:rsidRPr="0020456C" w:rsidRDefault="00750B6F" w:rsidP="0020456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inanční zprávě budou </w:t>
      </w:r>
      <w:r w:rsidR="00DD6258"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&gt; </w:t>
      </w:r>
      <w:r w:rsidR="00267CA6"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7</w:t>
      </w:r>
      <w:r w:rsidR="00DD6258"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="00267CA6"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5</w:t>
      </w:r>
      <w:r w:rsidR="00DD6258"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00 € pro IE.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EC38B5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 odůvodněných případech Centrum</w:t>
      </w:r>
      <w:r w:rsidR="004F6D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respektive příslušný </w:t>
      </w:r>
      <w:r w:rsidR="004913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kontrolor, </w:t>
      </w:r>
      <w:r w:rsidR="004913A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umožní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partnerovi předložit </w:t>
      </w:r>
      <w:r w:rsidR="00A651B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kontrole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 výdaje, které jsou nižší než uvedené limity.</w:t>
      </w:r>
      <w:r w:rsidR="00C35DD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ohledu na výše uvedené finanční limity mají partneři povinnost předložit výdaje ke kontrole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minimálně jednou do roka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Tím není dotčena povinnost</w:t>
      </w:r>
      <w:r w:rsidR="00C35DD3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partnerů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předložit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právu o průběhu projektu</w:t>
      </w:r>
      <w:r w:rsidR="0022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(Partner </w:t>
      </w:r>
      <w:proofErr w:type="spellStart"/>
      <w:r w:rsidR="00222F2F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="0022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každém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 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" w:name="_Toc425404950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1.1 Právní rámec</w:t>
      </w:r>
      <w:bookmarkEnd w:id="1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finančního řízení a v rámci kontroly je třeba postupovat v souladu s nařízeními EU, a to zejména s:</w:t>
      </w:r>
    </w:p>
    <w:p w:rsidR="00DD6258" w:rsidRPr="0020456C" w:rsidRDefault="00DD6258" w:rsidP="0020456C">
      <w:pPr>
        <w:numPr>
          <w:ilvl w:val="0"/>
          <w:numId w:val="14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(EU, Euratom) č. 966/2012 Evropského parlamentu a Rady (finanční nařízení) o finančních pravidlech platných pro souhrnný rozpočet Unie a zrušující nařízení Rady (ES, Euratom) č. 1605/2002;</w:t>
      </w:r>
    </w:p>
    <w:p w:rsidR="00DD6258" w:rsidRPr="00D7228E" w:rsidRDefault="00DD6258" w:rsidP="0020456C">
      <w:pPr>
        <w:numPr>
          <w:ilvl w:val="0"/>
          <w:numId w:val="14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(EU) č 1268/2012 o prováděcích pravidlech k nařízení Evropského parlamentu a Rady (EU, Euratom) č. 966/2012, platná pro finanční pravidla pro souhrnný rozpočet Unie.</w:t>
      </w:r>
    </w:p>
    <w:p w:rsidR="00DD6258" w:rsidRPr="0020456C" w:rsidRDefault="00DD6258" w:rsidP="0020456C">
      <w:pPr>
        <w:spacing w:before="120"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skutečnost, že jde o programy spolufinancované z ERDF, platí pro ně také všechna obecná pravidla týkající se způsobilosti výdajů pro strukturální fondy: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(EU) č. 1299/2013 ze dne 17. prosince 2013 o zvláštních ustanoveních týkajících se podpory z Evropského fondu pro regionální rozvoj pro cíl Evropská územní spolupráce (dále také „nařízení o EÚS“)</w:t>
      </w:r>
      <w:r w:rsidR="00E87F7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 regionální rozvoj, Evropském sociálním fondu, Fondu soudržnosti a Evropském námořním a rybářském fondu a o zrušení nařízení Rady (ES) č. 1083/2006 (dále také „obecné nařízení“);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(EU) č. 1301/2013 o Evropském fondu pro regionální rozvoj ze dne 17. prosince 2013, o zvláštních ustanoveních týkajících se cíle Investice pro růst a zaměstnanost a o zrušení nařízení (ES) č. 1080/2006 (dále také „nařízení o ERDF“);</w:t>
      </w:r>
    </w:p>
    <w:p w:rsidR="00DD6258" w:rsidRPr="0020456C" w:rsidRDefault="00DD6258" w:rsidP="0020456C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DD6258" w:rsidRPr="0020456C" w:rsidRDefault="00DD6258" w:rsidP="0020456C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 (EU) č. 481/2014 ze dne 4. března 2014, kterým se doplňuje nařízení Evropského parlamentu a Rady (EU) č. 1299/2013, pokud jde o zvláštní pravidla způsobilosti výdajů pro programy spolupráce;</w:t>
      </w:r>
    </w:p>
    <w:p w:rsidR="00DD6258" w:rsidRPr="0020456C" w:rsidRDefault="00DD6258" w:rsidP="0020456C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 (EU) č. 480/2014 ze dne 3. března 2014, kterým se doplňuje nařízení Evropského parlamentu a Rady (EU) č. 1303/2013 o společných ustanoveních o Evropském fondu pro regionální rozvoj, Evropském sociálním fondu, Fondu soudržnosti, Evropském zemědělském fondu pro rozvoj venkova a Evropském námořním a rybářském fondu a o obecných ustanoveních o Evropském fondu pro regionální rozvoj, Evropském sociálním fondu, Fondu soudržnosti a Evropském námořním a rybářském fondu;</w:t>
      </w:r>
    </w:p>
    <w:p w:rsidR="00DD6258" w:rsidRPr="0020456C" w:rsidRDefault="00DD6258" w:rsidP="0020456C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nařízení a směrnice platné pro implementaci projektů spolufinancovaných ERDF.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E87F70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postupuje při kontrole v souladu s: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programovou dokumentací pro jednotlivé programy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uveřejněnou na stránkách příslušného programu (zvláště Programme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pro 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CENTRAL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1F31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Project </w:t>
      </w:r>
      <w:proofErr w:type="spellStart"/>
      <w:r w:rsidR="001F31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="001F31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Handbook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DANUBE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DD6258" w:rsidRPr="00D7228E" w:rsidRDefault="00DD6258" w:rsidP="005B3F0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národní legislativou a metodikami -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Metodickým pokynem pro způsobilost výdajů a jejich vykazování v programovém období 2014-2020 (</w:t>
      </w:r>
      <w:hyperlink r:id="rId13" w:history="1">
        <w:r w:rsidR="00CF7FCD" w:rsidRPr="00F50B8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http://www.dotaceeu.cz/getmedia/7be05f88-01dc-46bc-96fd-fee5b45aac41/MP_zpusobile-vydaje-v4_cista.pdf?ext=.pdf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F7FC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DD6258" w:rsidRPr="0020456C" w:rsidRDefault="00DD6258" w:rsidP="002045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Pokyny pro příjemce</w:t>
      </w:r>
      <w:r w:rsidR="00CF7F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</w:pPr>
      <w:bookmarkStart w:id="2" w:name="_Toc425404951"/>
      <w:r w:rsidRPr="002045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  <w:t>1.2. Hierarchie pravidel</w:t>
      </w:r>
      <w:bookmarkEnd w:id="2"/>
      <w:r w:rsidRPr="002045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  <w:t xml:space="preserve"> způsobilosti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 projekty financované v rámci cíle Evropské územní spolupráce Politiky soudržnosti 2014-2020 je uvedena jasná definice hierarchie pravidel způsobilosti v článku 18 nařízení (EU) č. 1299/2013. Hierarchie pravidel způsobilosti je definována takto:</w:t>
      </w:r>
    </w:p>
    <w:p w:rsidR="00DD6258" w:rsidRPr="00E001AA" w:rsidRDefault="00DD6258" w:rsidP="00532416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EU: zahrnují příslušná ustanovení evropského práva</w:t>
      </w:r>
      <w:r w:rsidR="002B729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 ty, jež jsou uvedena v kapitole 1.1 Právní rámec;</w:t>
      </w:r>
    </w:p>
    <w:p w:rsidR="00DD6258" w:rsidRPr="0020456C" w:rsidRDefault="00DD6258" w:rsidP="0020456C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Programová pravidla: pravidla způsobilosti výdajů</w:t>
      </w:r>
      <w:r w:rsidR="002B729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definovaná v dokumentech jednotlivých programů a schválená MV daného programu; </w:t>
      </w:r>
    </w:p>
    <w:p w:rsidR="00DD6258" w:rsidRPr="0020456C" w:rsidRDefault="00DD6258" w:rsidP="0020456C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Vnitrostátní právo (včetně institucionálního) a/nebo relevantní “pravidla”: vztahuje se jen na záležitosti, které nezahrnují pravidla stanovená ve výše uvedených programových pravidlech a pravidlech EU. Jedná se především o ustanovení uvedených v těchto Pokynech, včetně jejich příloh a metodické pokyny vydané Národním orgánem pro koordinaci (dále jen „NOK“).</w:t>
      </w:r>
    </w:p>
    <w:p w:rsidR="00DD6258" w:rsidRPr="0020456C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právní předpisy je třeba používat v platném znění, jednotlivé novelizace zde nebudou uváděny.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6DA1" w:rsidRPr="0020456C" w:rsidRDefault="004F6DA1" w:rsidP="004F6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Hierarchie všech ostatních pravidel jiných než jsou pravidla způsobilosti, např. pravidel týkajících se veřejných zakázek, je stanovena v tomto pořadí (dle nadřazenosti): 1. Pravidla EU, 2. Vnitrostátní právo, 3. Programová pravidla.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3" w:name="_Toc445447259"/>
      <w:r w:rsidRPr="0020456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Předmět kontroly</w:t>
      </w:r>
      <w:bookmarkEnd w:id="3"/>
    </w:p>
    <w:p w:rsidR="00DD6258" w:rsidRPr="0020456C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DD6258" w:rsidRPr="0020456C" w:rsidRDefault="00DD6258" w:rsidP="0020456C">
      <w:pPr>
        <w:keepNext/>
        <w:keepLines/>
        <w:numPr>
          <w:ilvl w:val="1"/>
          <w:numId w:val="32"/>
        </w:numPr>
        <w:spacing w:before="40" w:after="0" w:line="259" w:lineRule="auto"/>
        <w:outlineLvl w:val="1"/>
        <w:rPr>
          <w:rFonts w:asciiTheme="majorHAnsi" w:eastAsia="Times New Roman" w:hAnsiTheme="majorHAnsi" w:cs="Arial"/>
          <w:b/>
          <w:bCs/>
          <w:color w:val="365F91" w:themeColor="accent1" w:themeShade="BF"/>
          <w:sz w:val="26"/>
          <w:szCs w:val="26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Předmětem kontroly je zejména: </w:t>
      </w:r>
    </w:p>
    <w:p w:rsidR="00DD6258" w:rsidRPr="0020456C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způsobilost žadatele/příjemce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zda jsou údaje uvedené o žadateli na </w:t>
      </w:r>
      <w:r w:rsidR="00004E6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předložených dokladech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faktuře správné a zda je tento subjekt oprávněn čerpat prostředky z </w:t>
      </w:r>
      <w:r w:rsidR="00004E6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realizaci projektu - příjemce musí být uveden v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D6258" w:rsidRPr="0020456C" w:rsidRDefault="00DD6258" w:rsidP="0020456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zda realizace projektu popsaná ve zprávě o průběhu projektu probíhá v souladu s podmínkami příslušné programové dokumentace a</w:t>
      </w: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Application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Form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, Pokynů aj</w:t>
      </w:r>
      <w:r w:rsidR="00CE45E8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DD6258" w:rsidRPr="0020456C" w:rsidRDefault="00DD6258" w:rsidP="002045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dodržení pravidel pro zadávání veřejných zakázek: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zákon č. 13</w:t>
      </w:r>
      <w:r w:rsidR="005B279E"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4</w:t>
      </w:r>
      <w:r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/20</w:t>
      </w:r>
      <w:r w:rsidR="005B279E"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1</w:t>
      </w:r>
      <w:r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6 Sb., o</w:t>
      </w:r>
      <w:r w:rsidR="005B279E"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zadávání</w:t>
      </w:r>
      <w:r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veřejných zakáz</w:t>
      </w:r>
      <w:r w:rsidR="005B279E"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ek</w:t>
      </w:r>
      <w:r w:rsidR="00222F2F"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pro zakázky vyhlášené po </w:t>
      </w:r>
      <w:proofErr w:type="gramStart"/>
      <w:r w:rsidR="00222F2F"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30.9. 2016</w:t>
      </w:r>
      <w:proofErr w:type="gramEnd"/>
      <w:r w:rsidR="00222F2F"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a zákon č. 137/2006 Sb., o veřejných zakázkách vyhlášené do 30.9. 2016</w:t>
      </w:r>
      <w:r w:rsidRPr="004913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Metodický pokyn pro oblast zadávání zakázek pro programové období 2014-2020 určený příjemcům podpory, kteří při realizaci projektů spolufinancovaných z Evropských strukturálních a investičních fondů v programovém období 2014-2020 zadávají zakázky</w:t>
      </w:r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142A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říloha č. 1)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ustanovení uvedená v těchto Pokynech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dodržení pravidel publicity: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článků 115 Nařízení Evropského parlamentu a Rady (EU) č. 1303/2013 a přílohou XII tohoto nařízení, Prováděcího nařízení Komise (EU) č. 821/2014 a programové dokumentace</w:t>
      </w:r>
    </w:p>
    <w:p w:rsidR="00DD6258" w:rsidRPr="0020456C" w:rsidRDefault="00DD6258" w:rsidP="0020456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časová a věcná způsobilost výdajů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D7228E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 s legislativou EU, programovou dokumentací a národní legislativou;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"/>
      </w:r>
    </w:p>
    <w:p w:rsidR="00DD6258" w:rsidRPr="0020456C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přiměřenost (výdaje musí odpovídat cenám v místě a čase obvyklém) a musí být vynaloženy v souladu s principy hospodárnosti, účelnosti, efektivnosti);</w:t>
      </w:r>
    </w:p>
    <w:p w:rsidR="00DD6258" w:rsidRPr="0020456C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zda deklarované výdaje byly vynaloženy v souvislosti s projektem a aktivitami uvedené v žádosti o projekt (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), v souladu s platným rozpočtem projektu a se smlouvou/partnerskou dohodou (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:rsidR="00DD6258" w:rsidRPr="0020456C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musí být identifikovatelné (originály dokladů projektového partnera musí být řádně označené číslem, akronymem/názvem projektu a názvem programu), prokazatelné, doložitelné pot</w:t>
      </w:r>
      <w:r w:rsidR="002969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vrzenými účetními doklady, </w:t>
      </w:r>
      <w:proofErr w:type="gramStart"/>
      <w:r w:rsidR="002969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tzn.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musí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definitivní, zachyceny v účetnictví partnera odděleně pro projekt, uhrazeny;  </w:t>
      </w:r>
    </w:p>
    <w:p w:rsidR="00DD6258" w:rsidRPr="00D7228E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spolufinancované produkty a služby byly dodány, a že výdaje, jež příjemce vykazuje, byly skutečně zaplaceny (dle dodacích listů, ukázek výstupů, prezenčních listin atd.).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3"/>
      </w:r>
    </w:p>
    <w:p w:rsidR="00DD6258" w:rsidRPr="0020456C" w:rsidRDefault="00AB623E" w:rsidP="0020456C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lastRenderedPageBreak/>
        <w:t>dodržení</w:t>
      </w:r>
      <w:r w:rsidR="00DD6258"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 podmín</w:t>
      </w:r>
      <w:r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e</w:t>
      </w:r>
      <w:r w:rsidR="00DD6258"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k veřejné podpory, ochrany životního prostředí a rovných příležitostí a nediskriminace</w:t>
      </w:r>
      <w:r w:rsidR="00EC337A"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, tak jak je uvedeno ve schválené žádosti</w:t>
      </w: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1"/>
          <w:numId w:val="32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Financování z více zdrojů</w:t>
      </w:r>
    </w:p>
    <w:p w:rsidR="00EC52C9" w:rsidRPr="0020456C" w:rsidRDefault="00EC52C9" w:rsidP="0020456C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Jakýkoliv výdaj, který byl již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12747A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100% uhrazen z jiných veřejných zdrojů (fondy EU, národní nebo krajské dotace, případně jejich kombinace…atd.) je považován za nezpůsobilý. </w:t>
      </w:r>
    </w:p>
    <w:p w:rsidR="00DD6258" w:rsidRPr="0020456C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z jiných národních/krajských zdrojů, které překračuje míru spolufinancování partnera (15%</w:t>
      </w:r>
      <w:r w:rsidR="005053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5053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25% z daného výdaje)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4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povede ke snížení příspěvku z </w:t>
      </w:r>
      <w:r w:rsidRPr="00D7228E" w:rsidDel="00785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ERDF o částku převyšující podíl příspěvku příjemce na konkrétním výdaji.</w:t>
      </w:r>
    </w:p>
    <w:p w:rsidR="00DD6258" w:rsidRPr="0020456C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Za účelem předcházet dvojímu financování jednotlivého výdaje je povinností projektového partnera označit originály účetních dokladů týkající se projektu:</w:t>
      </w:r>
    </w:p>
    <w:p w:rsidR="00DD6258" w:rsidRPr="0020456C" w:rsidRDefault="00DD6258" w:rsidP="00D7228E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razítkem s</w:t>
      </w:r>
      <w:r w:rsidR="004C0D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číslem</w:t>
      </w:r>
      <w:r w:rsidR="004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názvem (akronymem) projektu a </w:t>
      </w:r>
    </w:p>
    <w:p w:rsidR="00DD6258" w:rsidRPr="00D7228E" w:rsidRDefault="00DD6258" w:rsidP="0020456C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názvem programu </w:t>
      </w:r>
    </w:p>
    <w:p w:rsidR="00EC52C9" w:rsidRPr="0020456C" w:rsidRDefault="00EC52C9" w:rsidP="0020456C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uvedené body platí současně – označení dokladů musí splňovat všechny tři náležitosti. Vazbou na projekt musí být označeny všechny originály dokladů (přičemž splnění tohoto požadavku bude kromě jiného předmětem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kontroly na místě). V případě účetních dokladů generovaných elektronicky (neexistence originálů), je nutné zajistit, aby výše uvedené požadavky na vazbu k projektu a programu byly již obsaženy v elektronické verz</w:t>
      </w:r>
      <w:r w:rsidR="00EC52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dokladu. </w:t>
      </w:r>
    </w:p>
    <w:p w:rsidR="00DD6258" w:rsidRPr="0020456C" w:rsidRDefault="00DD6258" w:rsidP="00D722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Podle článku 140 (3) </w:t>
      </w:r>
      <w:r w:rsidR="008235BF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becného nařízení se doklady uchovávají buď ve formě originálů nebo ověřených kopií originálů na běžně akceptovaných datových nosičích včetně elektronických verzí originálních dokladů či dokladů, které existují pouze v elektronické verzi.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případě, že ta</w:t>
      </w:r>
      <w:r w:rsidR="00D90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to</w:t>
      </w:r>
      <w:r w:rsidR="00D90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označená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dokume</w:t>
      </w:r>
      <w:r w:rsidR="00287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ntace není k dispozici, mohou být Kontrolorům předloženy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originální faktury</w:t>
      </w:r>
      <w:r w:rsidR="00287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které 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musí být zneplatněny </w:t>
      </w:r>
      <w:r w:rsidRPr="00725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povinnou informací.</w:t>
      </w:r>
      <w:r w:rsidR="00287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Tím ovšem není partner zbaven</w:t>
      </w:r>
      <w:r w:rsidR="0023490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povinnost</w:t>
      </w:r>
      <w:r w:rsidR="00287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</w:t>
      </w:r>
      <w:r w:rsidR="0023490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vést kompletní složku projektu obsahující všechny originály účetních dokladů spojené s</w:t>
      </w:r>
      <w:r w:rsidR="00C17BCE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23490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projektem</w:t>
      </w:r>
      <w:r w:rsidR="00C17BCE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případně jejich ověřené kopie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všechny ostatní dokumenty spojené s projektem tj. </w:t>
      </w:r>
      <w:r w:rsidR="008E6CF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právy o průběhu projektů</w:t>
      </w:r>
      <w:r w:rsidR="00975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/Partner report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8E6CF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inanční zprávy</w:t>
      </w:r>
      <w:r w:rsidR="00975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/List </w:t>
      </w:r>
      <w:proofErr w:type="spellStart"/>
      <w:r w:rsidR="00975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of</w:t>
      </w:r>
      <w:proofErr w:type="spellEnd"/>
      <w:r w:rsidR="00975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975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expenditure</w:t>
      </w:r>
      <w:proofErr w:type="spellEnd"/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="008E6CF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artnership</w:t>
      </w:r>
      <w:proofErr w:type="spellEnd"/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8E6CF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greement</w:t>
      </w:r>
      <w:proofErr w:type="spellEnd"/>
      <w:r w:rsidR="003E51B2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certifikáty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…atd. </w:t>
      </w: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16C6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4" w:name="_Toc445447260"/>
      <w:r w:rsidRPr="00D716C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Výběr dodavatele, zadávací a výběrová řízení</w:t>
      </w:r>
      <w:bookmarkEnd w:id="4"/>
    </w:p>
    <w:p w:rsidR="00DD6258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3A3B" w:rsidRPr="00532416" w:rsidRDefault="002E3A3B" w:rsidP="005324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E3F0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cs-CZ"/>
        </w:rPr>
        <w:t>V případě, že část aktivit nebude zabezpečena partnerem, ale bude realizována na základě jedné nebo více smluv o dodávce zboží, služeb či stavebních prací, musí partner při uzavírání takových smluv postupovat v souladu s n</w:t>
      </w:r>
      <w:r w:rsidR="00BF1FAE" w:rsidRPr="006E3F0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cs-CZ"/>
        </w:rPr>
        <w:t>árodní legislativou a pravidly p</w:t>
      </w:r>
      <w:r w:rsidRPr="006E3F0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cs-CZ"/>
        </w:rPr>
        <w:t>rogramu, přičemž toto platí i u veřejných zakázek zadávaných ve fázi přípravy projektu a projektové žádosti.</w:t>
      </w:r>
    </w:p>
    <w:p w:rsidR="002E3A3B" w:rsidRPr="00532416" w:rsidRDefault="002E3A3B" w:rsidP="005324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Hlavním smyslem zadávacích řízení je umožnit rovný přístup všem potenciálním dodavatelům a zajistit hospodárné nakládání s veřejnými prostředky. Z toho důvodu je nutné klást důraz nejen na dodržování procedur, ale i na </w:t>
      </w:r>
      <w:r w:rsidRPr="006E3F0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cs-CZ"/>
        </w:rPr>
        <w:t xml:space="preserve">naplnění základních zásad a principů (zásady transparentnosti, </w:t>
      </w:r>
      <w:r w:rsidRPr="006E3F0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cs-CZ"/>
        </w:rPr>
        <w:lastRenderedPageBreak/>
        <w:t>přiměřenosti, rovného zacházení a zákazu diskriminace, princip hospodárnosti, efektivnosti a účelnosti).</w:t>
      </w:r>
    </w:p>
    <w:p w:rsidR="002E3A3B" w:rsidRPr="0020456C" w:rsidRDefault="002E3A3B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20456C"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  <w:tab/>
      </w:r>
      <w:r w:rsidRPr="00204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3.1. Aplikované předpisy a obecné zásady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056D7F" w:rsidRPr="00532416" w:rsidRDefault="00056D7F" w:rsidP="0053241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 českých partnerů je povinnost při zadávání veřejných zakázek postupovat v souladu:</w:t>
      </w:r>
    </w:p>
    <w:p w:rsidR="00056D7F" w:rsidRPr="006E3F0A" w:rsidRDefault="00056D7F" w:rsidP="00532416">
      <w:pPr>
        <w:pStyle w:val="01AufzhlungEbene1"/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highlight w:val="yellow"/>
          <w:lang w:val="cs-CZ" w:eastAsia="cs-CZ"/>
        </w:rPr>
      </w:pPr>
      <w:r w:rsidRPr="006E3F0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highlight w:val="yellow"/>
          <w:lang w:val="cs-CZ" w:eastAsia="cs-CZ"/>
        </w:rPr>
        <w:t xml:space="preserve">se zákonem č. 137/2006 Sb., o veřejných zakázkách v platném znění (v případě zakázek vyhlášených do </w:t>
      </w:r>
      <w:proofErr w:type="gramStart"/>
      <w:r w:rsidRPr="006E3F0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highlight w:val="yellow"/>
          <w:lang w:val="cs-CZ" w:eastAsia="cs-CZ"/>
        </w:rPr>
        <w:t>30.09.2016</w:t>
      </w:r>
      <w:proofErr w:type="gramEnd"/>
      <w:r w:rsidRPr="006E3F0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highlight w:val="yellow"/>
          <w:lang w:val="cs-CZ" w:eastAsia="cs-CZ"/>
        </w:rPr>
        <w:t xml:space="preserve"> včetně), resp. se zákonem č. 134/2016 Sb., o zadávání veřejných zakázek, v platném znění (v případě zakázek vyhlášených od 01.10.2016</w:t>
      </w:r>
      <w:r w:rsidR="004F6DA1" w:rsidRPr="006E3F0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highlight w:val="yellow"/>
          <w:lang w:val="cs-CZ" w:eastAsia="cs-CZ"/>
        </w:rPr>
        <w:t xml:space="preserve"> včetně</w:t>
      </w:r>
      <w:r w:rsidRPr="006E3F0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highlight w:val="yellow"/>
          <w:lang w:val="cs-CZ" w:eastAsia="cs-CZ"/>
        </w:rPr>
        <w:t>) a s nimi souvisejícími zákony, vyhláškami a metodickými postupy;</w:t>
      </w:r>
    </w:p>
    <w:p w:rsidR="00056D7F" w:rsidRPr="006E3F0A" w:rsidRDefault="00056D7F" w:rsidP="00532416">
      <w:pPr>
        <w:pStyle w:val="01AufzhlungEbene1"/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highlight w:val="yellow"/>
          <w:lang w:val="cs-CZ" w:eastAsia="cs-CZ"/>
        </w:rPr>
      </w:pPr>
      <w:r w:rsidRPr="006E3F0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highlight w:val="yellow"/>
          <w:lang w:val="cs-CZ" w:eastAsia="cs-CZ"/>
        </w:rPr>
        <w:t>v případě, veřejných zakázek, jejichž zadávání tento zákon neupravuje (zejména veřejné zakázky malého rozsahu) je partner povinen postupovat v souladu s Metodickým pokynem pro oblast zadávání zakázek pro programové období 2014-2020</w:t>
      </w:r>
      <w:r w:rsidR="00455E1A" w:rsidRPr="006E3F0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highlight w:val="yellow"/>
          <w:lang w:val="cs-CZ" w:eastAsia="cs-CZ"/>
        </w:rPr>
        <w:t xml:space="preserve"> - </w:t>
      </w:r>
      <w:proofErr w:type="spellStart"/>
      <w:r w:rsidR="00455E1A" w:rsidRPr="006E3F0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cs-CZ"/>
        </w:rPr>
        <w:t>příloha</w:t>
      </w:r>
      <w:proofErr w:type="spellEnd"/>
      <w:r w:rsidR="00455E1A" w:rsidRPr="006E3F0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cs-CZ"/>
        </w:rPr>
        <w:t xml:space="preserve"> č. 1</w:t>
      </w:r>
      <w:r w:rsidRPr="006E3F0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highlight w:val="yellow"/>
          <w:lang w:val="cs-CZ" w:eastAsia="cs-CZ"/>
        </w:rPr>
        <w:t>.</w:t>
      </w:r>
    </w:p>
    <w:p w:rsidR="00056D7F" w:rsidRPr="00532416" w:rsidRDefault="00056D7F" w:rsidP="0053241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případě, že v organizaci partnera platí vlastní postupy pro zadávání veřejných zakázek, může je partner aplikovat, pokud splňují minimálně požadavky stanovené v zákoně, resp. v Metodickém pokynu pro oblast zadávání zakázek pro programové období 2014-2020</w:t>
      </w:r>
      <w:r w:rsidR="00455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V</w:t>
      </w: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tomto případě doporučujeme předem konzultovat postup s příslušným Kontrolorem, který bude posuzovat, zda vlastní postupy uplatňované v organizaci partnera splňují minimálně požadavky stanovené v zákoně, resp. postupy uvedené v Metodickém pokynu pro oblast zadávání zakázek </w:t>
      </w:r>
      <w:r w:rsidR="00455E1A" w:rsidRPr="00455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 programové období 2014-2020</w:t>
      </w: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056D7F" w:rsidRPr="00532416" w:rsidRDefault="00056D7F" w:rsidP="0053241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Upozorňujeme, že zadávací řízení musí být realizována tak, aby umožnila rovný přístup všem potenciálním dodavatelům, zajistila hospodárné nakládání s veřejnými prostředky a vedla k výběru takové nabídky, která respektuje principy hospodárnosti, efektivnosti a účelnosti tak, jak jsou tyto pojmy vymezeny v § 2 zákona č. 320/2001 Sb. (zákon o finanční kontrole) v platném znění, a zároveň zásady uváděné v § 6 zákona č. 137/2006 Sb., </w:t>
      </w:r>
      <w:r w:rsidRPr="006E3F0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cs-CZ"/>
        </w:rPr>
        <w:t>resp. zákona č. 134/2016 Sb. (zákon o veřejných zakázkách) v platném znění.</w:t>
      </w: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Z toho důvodu je nutné klást důraz nejen na dodržování procedur, ale i na zmíněné principy a zásady.</w:t>
      </w:r>
    </w:p>
    <w:p w:rsidR="00DD6258" w:rsidRPr="0020456C" w:rsidRDefault="00056D7F" w:rsidP="00D722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Zásady transparentnosti, rovného zacházení a zákazu diskriminace a </w:t>
      </w:r>
      <w:r w:rsidRPr="006E3F0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cs-CZ"/>
        </w:rPr>
        <w:t>stejně tak principy hospodárnosti, efektivnosti, účelnosti a zásada přiměřenosti, se vztahují na všechny veřejné zakázky bez ohledu na to, zda jsou postupy pro jejich zadávání upraveny přímo zákonem č. 137/2006 Sb., resp. zákonem č. 134/2016 o veřejných zakázkách</w:t>
      </w: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nebo jinými pravidly, a jejich dodržení je předmětem posouzení zadávacích řízení kontrolorem.</w:t>
      </w:r>
    </w:p>
    <w:p w:rsidR="00200046" w:rsidRPr="00D716C6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programů CENTRAL a DANUBE jsou stanoveny přísnější limity v rámci výběrového/zadávacího řízení. U všech zakázek s hodnotou ≥5000 EUR bez DPH a nepřesahující hodnotu 400 tis. Kč bez DPH, je třeba, aby příjemci provedli a zdokumentovali adekvátní výzkum trhu pro dané plnění (např. obdržením minimál</w:t>
      </w:r>
      <w:r w:rsidRPr="00500EBC">
        <w:rPr>
          <w:rFonts w:ascii="Times New Roman" w:eastAsia="Times New Roman" w:hAnsi="Times New Roman" w:cs="Times New Roman"/>
          <w:sz w:val="24"/>
          <w:szCs w:val="24"/>
          <w:lang w:eastAsia="cs-CZ"/>
        </w:rPr>
        <w:t>ně 3 nabídek, použitím e-tržiště, atd.). Nicméně, u jakékoliv zakázky bude v průběhu kontroly posuzována adekvátnost</w:t>
      </w:r>
      <w:r w:rsidR="003520BF" w:rsidRPr="00500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00EBC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hospodárnost</w:t>
      </w:r>
      <w:r w:rsidR="003520BF" w:rsidRPr="00500EBC">
        <w:rPr>
          <w:rFonts w:ascii="Times New Roman" w:eastAsia="Times New Roman" w:hAnsi="Times New Roman" w:cs="Times New Roman"/>
          <w:sz w:val="24"/>
          <w:szCs w:val="24"/>
          <w:lang w:eastAsia="cs-CZ"/>
        </w:rPr>
        <w:t>, účelnost a efektivnost</w:t>
      </w:r>
      <w:r w:rsidRPr="00500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vynaložených prostředků.</w:t>
      </w:r>
    </w:p>
    <w:p w:rsidR="00200046" w:rsidRPr="00863480" w:rsidRDefault="00200046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5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BB7">
        <w:rPr>
          <w:rFonts w:ascii="Times New Roman" w:eastAsia="Times New Roman" w:hAnsi="Times New Roman" w:cs="Times New Roman"/>
          <w:sz w:val="24"/>
          <w:szCs w:val="24"/>
          <w:lang w:eastAsia="cs-CZ"/>
        </w:rPr>
        <w:t>S </w:t>
      </w:r>
      <w:r w:rsidR="00662BFC" w:rsidRPr="000A1769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</w:t>
      </w:r>
      <w:r w:rsidRPr="009D3D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žádostí o certifikaci (kontrolou výdajů)</w:t>
      </w:r>
      <w:r w:rsidR="00662BFC" w:rsidRPr="00C52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</w:t>
      </w:r>
      <w:r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předložit formulář s přehledem realizovaných a předpokládaných výběrových řízení (přílohu </w:t>
      </w:r>
      <w:r w:rsidR="00200046"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>č. 4</w:t>
      </w:r>
      <w:r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662BFC"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změny je třeba </w:t>
      </w:r>
      <w:r w:rsidR="00303EAC"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předložit</w:t>
      </w:r>
      <w:r w:rsidR="00662BFC"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aktualizovaný formulář s přehledem realizovaných a předpokládaných výběrových řízení </w:t>
      </w:r>
      <w:r w:rsidR="00303EAC"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s nejbližší žádostí o certifikaci (kontrolu výdajů).</w:t>
      </w:r>
      <w:r w:rsid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2AF7" w:rsidRPr="006E3F0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U programu IE je třeba navíc předložit i přílohu č. 8</w:t>
      </w:r>
      <w:r w:rsidR="002363D0" w:rsidRPr="006E3F0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-</w:t>
      </w:r>
      <w:r w:rsidR="00002AF7" w:rsidRPr="006E3F0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List </w:t>
      </w:r>
      <w:proofErr w:type="spellStart"/>
      <w:r w:rsidR="00002AF7" w:rsidRPr="006E3F0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of</w:t>
      </w:r>
      <w:proofErr w:type="spellEnd"/>
      <w:r w:rsidR="00002AF7" w:rsidRPr="006E3F0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="00002AF7" w:rsidRPr="006E3F0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Contracts</w:t>
      </w:r>
      <w:proofErr w:type="spellEnd"/>
      <w:r w:rsidR="00002AF7" w:rsidRPr="006E3F0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keepNext/>
        <w:numPr>
          <w:ilvl w:val="1"/>
          <w:numId w:val="16"/>
        </w:num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5" w:name="_Toc295893522"/>
      <w:r w:rsidRPr="0020456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 xml:space="preserve"> Hodnotící kritéria</w:t>
      </w:r>
      <w:bookmarkEnd w:id="5"/>
    </w:p>
    <w:p w:rsidR="002363D0" w:rsidRPr="006E3F0A" w:rsidRDefault="002363D0" w:rsidP="00532416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cs-CZ"/>
        </w:rPr>
      </w:pPr>
      <w:r w:rsidRPr="006E3F0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Jako hodnotící kritérium pro výběr nabídky může být ekonomická výhodnost nabídky, nebo nejnižší nabídková cena. </w:t>
      </w:r>
    </w:p>
    <w:p w:rsidR="002363D0" w:rsidRPr="006E3F0A" w:rsidRDefault="002363D0" w:rsidP="00532416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cs-CZ"/>
        </w:rPr>
      </w:pPr>
      <w:r w:rsidRPr="006E3F0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Dílčí hodnotící kritéria se musí vztahovat k nabízenému plnění zakázky. Mohou jimi být zejména nabídková cena, kvalita, technická úroveň nabízeného plnění, estetické a funkční vlastnosti.</w:t>
      </w:r>
    </w:p>
    <w:p w:rsidR="002363D0" w:rsidRPr="00532416" w:rsidRDefault="002363D0" w:rsidP="00532416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E3F0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S ohledem na výše uvedené principy hospodárnosti efektivnosti, účelnosti a zásadu přiměřenosti platí, že v případě použití kritéria ekonomická výhodnost nabídky, musí být stanoven takový poměr vah dílčích kritérií nabídková cena (případně náklady životního cyklu) a kvalita (obdobně technická úroveň nabízeného plnění nebo estetické a funkční vlastnosti), který umožní získat plnění na odůvodnitelné úrovni potřebné pro dosažení účelu předmětné veřejné zakázky.</w:t>
      </w: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D7228E" w:rsidRDefault="00DD6258" w:rsidP="0020456C">
      <w:pPr>
        <w:keepNext/>
        <w:numPr>
          <w:ilvl w:val="1"/>
          <w:numId w:val="16"/>
        </w:num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6" w:name="_Toc295893523"/>
      <w:r w:rsidRPr="0020456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Posouzení zadávacích/výběrových řízení</w:t>
      </w:r>
      <w:r w:rsidRPr="00D7228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cs-CZ"/>
        </w:rPr>
        <w:footnoteReference w:id="5"/>
      </w:r>
      <w:bookmarkEnd w:id="6"/>
    </w:p>
    <w:p w:rsidR="00DD6258" w:rsidRPr="0020456C" w:rsidRDefault="00DD6258" w:rsidP="0020456C">
      <w:pPr>
        <w:numPr>
          <w:ilvl w:val="0"/>
          <w:numId w:val="18"/>
        </w:num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 vyhlášením zadávacího/výběrového řízení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všech zakázek, u kterých bude zadávací řízení vyhlášeno po podpisu Smlouvy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poskytnutí prostředků z ERDF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mezi LP a řídícím orgánem, případně partnerské smlouvy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mezi LP a PP</w:t>
      </w: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jejichž hodnota je 400 000 Kč bez DPH a vyšší, resp. 500 000 Kč bez DPH a vyšší v případě, že Partner </w:t>
      </w:r>
    </w:p>
    <w:p w:rsidR="00500EBC" w:rsidRPr="006E3F0A" w:rsidRDefault="00500EBC" w:rsidP="00532416">
      <w:pPr>
        <w:pStyle w:val="01AufzhlungEbene1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val="cs-CZ" w:eastAsia="cs-CZ"/>
        </w:rPr>
      </w:pPr>
      <w:r w:rsidRPr="006E3F0A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val="cs-CZ" w:eastAsia="cs-CZ"/>
        </w:rPr>
        <w:t>není veřejným nebo sektorovým zadavatelem dle § 2 odst. 2 a 6 zákona č. 137/2006 Sb., o veřejných zakázkách a dotace poskytovaná na danou zakázku není vyšší než 50 %</w:t>
      </w:r>
      <w:r w:rsidRPr="006E3F0A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vertAlign w:val="superscript"/>
          <w:lang w:eastAsia="cs-CZ"/>
        </w:rPr>
        <w:footnoteReference w:id="6"/>
      </w:r>
      <w:r w:rsidRPr="006E3F0A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val="cs-CZ" w:eastAsia="cs-CZ"/>
        </w:rPr>
        <w:t xml:space="preserve">, </w:t>
      </w:r>
    </w:p>
    <w:p w:rsidR="00500EBC" w:rsidRPr="006E3F0A" w:rsidRDefault="00500EBC" w:rsidP="00532416">
      <w:pPr>
        <w:pStyle w:val="01AufzhlungEbene1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val="cs-CZ" w:eastAsia="cs-CZ"/>
        </w:rPr>
      </w:pPr>
      <w:r w:rsidRPr="006E3F0A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val="cs-CZ" w:eastAsia="cs-CZ"/>
        </w:rPr>
        <w:t>resp. není zadavatelem dle § 4 zákona č. 134/2016 Sb., o veřejných zakázkách</w:t>
      </w:r>
      <w:r w:rsidRPr="006E3F0A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vertAlign w:val="superscript"/>
          <w:lang w:eastAsia="cs-CZ"/>
        </w:rPr>
        <w:footnoteReference w:id="7"/>
      </w:r>
      <w:r w:rsidRPr="006E3F0A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val="cs-CZ" w:eastAsia="cs-CZ"/>
        </w:rPr>
        <w:t xml:space="preserve">, 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Partner před vyhlášením zadávacího řízení povinen předložit svému kontrolorovi ke kontrole následující dokumenty (dokumenty stačí předložit v elektronické podobě): </w:t>
      </w:r>
    </w:p>
    <w:p w:rsidR="00500EBC" w:rsidRPr="00532416" w:rsidRDefault="00500EBC" w:rsidP="00532416">
      <w:pPr>
        <w:numPr>
          <w:ilvl w:val="0"/>
          <w:numId w:val="5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dokumentaci, příp. výzvu (pokud zároveň plní funkci zadávací dokumentace);</w:t>
      </w:r>
    </w:p>
    <w:p w:rsidR="00500EBC" w:rsidRPr="00532416" w:rsidRDefault="00500EBC" w:rsidP="00532416">
      <w:pPr>
        <w:numPr>
          <w:ilvl w:val="0"/>
          <w:numId w:val="5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kalkulaci předpokládané hodnoty veřejné zakázky vč. zdůvodnění této kalkulace (uvedení z jakých údajů a informací partner vycházel při stanovování předpokládaných cen)</w:t>
      </w:r>
      <w:r w:rsidRPr="005324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8"/>
      </w: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Kontrolor vydá k uvedeným dokumentům stanovisko do 10 pracovních dní od jejich obdržení. V případě, že dokumentace předložená partnerem není kompletní, nebo kontrolor potřebuje k posouzení předložené dokumentace další doplňující informace, běh této lhůty se pozastavuje. Běh lhůty pokračuje v okamžiku, kdy partner dodá chybějící podklady/požadované informace.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řízení je možné vyhlásit až po obdržení souhlasného stanoviska Kontrolora a Partner je povinen při vyhlášení zadávacího řízení použít ty verze dokumentů, které byly posouzeny Kontrolorem.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8"/>
        </w:num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 podpisem smlouvy s dodavatelem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je povinen uchovávat veškerou dokumentaci o zakázce a záznamy (vč. elektronických) o úkonech souvisejících s realizací zakázky. Dokumentací o zakázce se rozumí souhrn všech dokumentů v listinné či elektronické podobě, jejichž pořízení v průběhu zadávacího řízení, popř. po jeho ukončení, vyžaduje zákon (u veřejných zakázek, na které se vztahují ustanovení zákona), resp. postupy stanovené v Metodickém pokynu pro oblast zadávání zakázek (u veřejných zakázek, na které se zákon nevztahuje). </w:t>
      </w: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výběru vítězné nabídky musí být spolu s dokumenty uvedenými dále v textu předložena kontrolorovi před podpisem smlouvy s dodavatelem. </w:t>
      </w: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 v případě veřejných zakázek, u kterých je postup zadávání upraven přímo zákonem o veřejných zakázkách, zákon stanovuje lhůtu pro uzavření smlouvy. Zároveň lhůta pro provedení kontroly průběhu zadávacího řízení kontrolorem činí 10 pracovních dní. Z toho důvodu je nutné dokumenty předložit vždy co nejdříve po uzavření jednotlivých procesních kroků stanovených zákonem (tj. po rozhodnutí o výběru nejvhodnější nabídky – dokumenty uvedené níže pod body a) - g) a po vypořádání námitek – dokumenty uvedené níže pod bodem h)).</w:t>
      </w: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účely posouzení správnosti postupu zadavatele při zadávání zakázky budou vyžadovány následující základní dokumenty: </w:t>
      </w:r>
    </w:p>
    <w:p w:rsidR="00500EBC" w:rsidRPr="00532416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text oznámení o zahájení zadávacího řízení, resp. výzvy zaslané požadovanému počtu potenciálních dodavatelů k podání nabídky a dalších dokumentů vymezujících předmět zakázky (např. zadávací dokumentace, je-li povinnost ji zpracovat) vč. dokladů prokazujících jejich odeslání</w:t>
      </w:r>
      <w:r w:rsidRPr="005324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9"/>
      </w: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500EBC" w:rsidRPr="00532416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vítěznou nabídku podanou uchazečem na základě oznámení o zahájení zadávacího řízení, resp. výzvy zadavatele nebo jiné informace či ceníky, z nichž vyplývá plnění nabízené uchazečem;</w:t>
      </w:r>
    </w:p>
    <w:p w:rsidR="00500EBC" w:rsidRPr="00532416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 o otevírání obálek (není vyžadován, pokud jsou informace o otevírání obálek zahrnuty ve zprávě/protokolu o posouzení a hodnocení nabídek) podepsaný členy komise pro otevírání obálek;</w:t>
      </w:r>
    </w:p>
    <w:p w:rsidR="00500EBC" w:rsidRPr="00532416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zpráva/protokol o posouzení a hodnocení podaných nabídek podepsaný členy hodnotící komise, včetně dokladů o jmenování hodnotící komise a prohlášeních o nepodjatosti všech jejich členů;</w:t>
      </w:r>
    </w:p>
    <w:p w:rsidR="00500EBC" w:rsidRPr="00532416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zadavatele o přidělení zakázky, vč. dokumentů prokazujících jeho odeslání všem dotčeným uchazečům a zájemcům;</w:t>
      </w:r>
    </w:p>
    <w:p w:rsidR="00500EBC" w:rsidRPr="00532416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smlouvy s dodavatelem.</w:t>
      </w: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Nad rámec těchto dokumentů Partner kontrolorovi dále předloží:</w:t>
      </w:r>
    </w:p>
    <w:p w:rsidR="00500EBC" w:rsidRPr="00532416" w:rsidRDefault="00500EBC" w:rsidP="00532416">
      <w:pPr>
        <w:numPr>
          <w:ilvl w:val="0"/>
          <w:numId w:val="5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nabídky, které byly v průběhu zadávacího řízení vyřazeny, pokud k vyřazení nějaké nabídky došlo;</w:t>
      </w:r>
    </w:p>
    <w:p w:rsidR="00500EBC" w:rsidRPr="00532416" w:rsidRDefault="00500EBC" w:rsidP="00532416">
      <w:pPr>
        <w:numPr>
          <w:ilvl w:val="0"/>
          <w:numId w:val="5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písemnou informaci o způsobu vyřešení námitek (odvolání) podaných některými uchazeči, pokud v rámci zadávacího řízení nějaké námitky (odvolání) byly podány.</w:t>
      </w: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Kontrolor posoudí dokumenty ve lhůtě 10 pracovních dní. V případě, že dokumentace předložená Partnerem není kompletní, nebo Kontrolor potřebuje k posouzení předložené dokumentace další doplňující informace, běh této lhůty se pozastavuje. Běh lhůty pokračuje v okamžiku, kdy Partner dodá chybějící podklady / požadované informace.</w:t>
      </w: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může uzavřít smlouvu s dodavatelem až poté, co obdrží souhlasné stanovisko Kontrolora k průběhu zadávacího řízení.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8"/>
        </w:num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podpisu smlouvy s dodavatelem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Po podpisu smlouvy s dodavatelem, nejpozději však při předložení nejblíže následující soupisky dokladů, předloží Partner svému kontrolorovi k posouzení následující dokumenty:</w:t>
      </w:r>
    </w:p>
    <w:p w:rsidR="00500EBC" w:rsidRPr="00532416" w:rsidRDefault="00500EBC" w:rsidP="00532416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uzavřenou smlouvu s vybraným dodavatelem, vč. případných dodatků k ní;</w:t>
      </w:r>
    </w:p>
    <w:p w:rsidR="00500EBC" w:rsidRPr="00532416" w:rsidRDefault="00500EBC" w:rsidP="00532416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text oznámení o výsledku zadávacího řízení zaslaný všem uchazečům, kteří podali nabídku v řádném termínu pro podání nabídek, vč. dokladů prokazujících jejich odeslání. 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 si může vyžádat další dokumenty nezbytné pro provedení kontroly zadávacího řízení. 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se netýká případů, kdy došlo k přímému nákupu bez zadávacího řízení (v případě, že to pravidla umožňují). V tomto případě budou kontrolovány pouze účetní doklady se zakázkou související.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Dále se výše uvedené postupy netýkají zakázek, které jsou v projektu vykazovány pouze částečně, např. zadávací řízení na spotřební materiál, a to za splnění podmínky, že součet výdajů uplatňovaných v projektu nepřesáhne 400 000 Kč (v případě, že je dodavatelem plátce DPH, se jedná o částku bez DPH). V případě, že součet výdajů uplatňovaných v projektu tuto částku přesáhne, ale zároveň nepřekročí v rámci projektu 25 % celkových způsobilých výdajů schváleného rozpočtu partnera a v rámci zakázky 50 % celkové hodnoty zakázky, musí zadavatel k deklarovaným výdajům doložit, že veřejná zakázka byla zadána v souladu se zákonem č. 137/2006 Sb., o veřejných zakázkách v platném znění, resp. zákonem č. 134/2016 Sb., o zadávání veřejných zakázek, v platném znění u zakázek vyhlašovaných od 1. 10. 2016</w:t>
      </w: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s pravidly pro zadávání veřejných zakázek mimo režim zákona stanovenými v pravidlech Programu a to buď zprávou externího auditora, případně Zprávou o výsledku přezkoumání hospodaření podle zákona č. 420/2004 Sb., o přezkoumávání hospodaření územních samosprávných celků a dobrovolných svazků obcí, pokud předmětem přezkoumání byla i daná veřejná zakázka. V případě, že výdaje z veřejné zakázky byly uplatněny i v rámci projektu realizovaného z jiného operačního programu, může příjemce doložit zprávu o výsledku kontroly veřejné zakázky zpracovanou subjektem, který je pro daný operační program odpovědný za provádění ověřování dle čl. 125 odst. 4 písm. a) Obecného nařízení.</w:t>
      </w:r>
    </w:p>
    <w:p w:rsidR="00EB31D4" w:rsidRDefault="00EB31D4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31D4" w:rsidRDefault="00EB31D4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31D4" w:rsidRPr="0020456C" w:rsidRDefault="00EB31D4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5324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7" w:name="_Toc220322043"/>
      <w:bookmarkStart w:id="8" w:name="_Toc220322510"/>
      <w:bookmarkStart w:id="9" w:name="_Toc220382201"/>
      <w:bookmarkStart w:id="10" w:name="_Toc220322044"/>
      <w:bookmarkStart w:id="11" w:name="_Toc220322511"/>
      <w:bookmarkStart w:id="12" w:name="_Toc220382202"/>
      <w:bookmarkStart w:id="13" w:name="_Toc445447261"/>
      <w:bookmarkEnd w:id="7"/>
      <w:bookmarkEnd w:id="8"/>
      <w:bookmarkEnd w:id="9"/>
      <w:bookmarkEnd w:id="10"/>
      <w:bookmarkEnd w:id="11"/>
      <w:bookmarkEnd w:id="12"/>
      <w:r w:rsidRPr="002045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Způsobilost výdajů</w:t>
      </w:r>
      <w:bookmarkEnd w:id="13"/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4" w:name="_Toc445447262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Způsobilé výdaje rámcově upravují:</w:t>
      </w:r>
      <w:bookmarkEnd w:id="14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5" w:name="_Toc445447263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EU) č. 1303/2013</w:t>
      </w:r>
      <w:bookmarkEnd w:id="15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6" w:name="_Toc445447264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(EU) č. 1301/2013</w:t>
      </w:r>
      <w:bookmarkEnd w:id="16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7" w:name="_Toc445447265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(EU) č. 1299/2013</w:t>
      </w:r>
      <w:bookmarkEnd w:id="17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8" w:name="_Toc445447266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(EU) č. 481/2014</w:t>
      </w:r>
      <w:bookmarkEnd w:id="18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9" w:name="_Toc445447267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právní předpisy je třeba používat v platném znění, jednotlivé novelizace zde nebudou uváděny. Při určování způsobilosti výdajů je dále nutno respektovat další související právní předpisy EU a ČR v platném znění.</w:t>
      </w:r>
      <w:bookmarkEnd w:id="19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0" w:name="_Toc445447268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vysvětlení ustanovení o způsobilých výdajích, která jsou uvedena ve výše zmíněných nařízeních, vydalo Ministerstvo pro místní rozvoj dokument nazvaný „Metodický pokyn pro způsobilost výdajů a jejich vykazování v programovém období 2014-2020“, dále jen „Metodický pokyn ZV“. Jeho aktuální znění naleznete </w:t>
      </w:r>
      <w:r w:rsidRPr="0020456C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na </w:t>
      </w:r>
      <w:hyperlink r:id="rId14" w:history="1">
        <w:r w:rsidR="00013912" w:rsidRPr="0020456C">
          <w:rPr>
            <w:rStyle w:val="Hypertextovodkaz"/>
            <w:rFonts w:ascii="Times New Roman" w:hAnsi="Times New Roman" w:cs="Times New Roman"/>
            <w:sz w:val="24"/>
          </w:rPr>
          <w:t>http://www.dotaceeu.cz/getmedia/7be05f88-01dc-46bc-96fd-fee5b45aac41/MP_zpusobile-vydaje-v4_cista.pdf?ext=.pdf</w:t>
        </w:r>
      </w:hyperlink>
      <w:r w:rsidR="00013912" w:rsidRPr="00D7228E">
        <w:t xml:space="preserve"> 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Metodický pokyn ZV představuje podpůrný a výkladový materiál, který má doporučující charakter, jehož cílem je pomoci partnerům se orientovat v problematice způsobilých výdajů. Součástí Metodického pokynu ZV je úprava pravidel způsobilých výdajů, která js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 pro české partnery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doporučující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20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21" w:name="_Toc445447269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Řídící orgány a členské státy se s ohledem na specifika jednotlivých programů spolupráce dále rozhodly v některých případech podrobněji pravidla způsobilých výdajů upravit. Tato pravidla jsou pro české partnery závazná a jsou uvedena v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programové dokumentaci jednotlivých programů (viz. </w:t>
      </w:r>
      <w:proofErr w:type="gram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kap.</w:t>
      </w:r>
      <w:proofErr w:type="gram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Úvod).</w:t>
      </w:r>
      <w:bookmarkEnd w:id="21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22" w:name="_Toc445447270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Doporučujeme všem českým partnerům se před vlastním předložením projektové žádosti seznámit s níže uvedenými pravidly způsobilosti výdajů v rámci jednotlivých programů i s Metodickým pokynem ZV.</w:t>
      </w:r>
      <w:bookmarkEnd w:id="22"/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3" w:name="_Toc445447271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Způsobilost uskutečněných výdajů bude kontrolována Kontrolorem v průběhu realizace projektu na základě předkládání podkladů pro kontrolu a s tím souvisejících dokladů a dokumentace. Na výdaje uvedené v projektové žádosti a odsouhlasené </w:t>
      </w:r>
      <w:r w:rsidR="00004E6B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MV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nevzniká automaticky nárok. V této souvislosti může dojít k přehodnocení způsobilosti jednotlivých výdajů oproti předložené projektové žádosti. Rozhodující je posouzení Kontrolorů při vlastní realizaci projektu a při potvrzování legality a řádnosti uskutečněných výdajů.</w:t>
      </w:r>
      <w:bookmarkEnd w:id="23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4" w:name="_Toc445447272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programů CENTRAL, DANUBE a IE jsou způsobilé následující výdaje:</w:t>
      </w:r>
      <w:bookmarkEnd w:id="24"/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5" w:name="_Toc445447273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</w:t>
      </w:r>
      <w:bookmarkEnd w:id="25"/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6" w:name="_Toc445447274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administrativní náklady</w:t>
      </w:r>
      <w:bookmarkEnd w:id="26"/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7" w:name="_Toc445447275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cestování a ubytování</w:t>
      </w:r>
      <w:bookmarkEnd w:id="27"/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8" w:name="_Toc445447276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externí odborné poradenství a služby</w:t>
      </w:r>
      <w:bookmarkEnd w:id="28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9" w:name="_Toc445447277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vybavení</w:t>
      </w:r>
      <w:bookmarkEnd w:id="29"/>
    </w:p>
    <w:p w:rsidR="00DD6258" w:rsidRPr="00D7228E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0" w:name="_Toc445447278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infrastrukturu a práce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0"/>
      </w:r>
      <w:bookmarkEnd w:id="30"/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1" w:name="_Toc445447279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Vykazování jednotlivých typů výdajů je popsáno v programové dokumentaci uvedených programů (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243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43544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243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43544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1126E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="00D953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D9539F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="00D953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9539F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program DANUBE a Program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program IE).</w:t>
      </w:r>
      <w:bookmarkEnd w:id="31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2" w:name="_Toc445447280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náklady</w:t>
      </w:r>
      <w:bookmarkEnd w:id="32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3" w:name="_Toc445447281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 České republice jsou osobní náklady omezeny na celkové (hrubé) mzdové náklady zaměstnavatele na zaměstnance včetně zákonem předepsaných náhrad a příplatků. Kromě hlavního pracovního poměru jsou dále uznatelnými druhy pracovně právních vztahů: dohoda o provedení práce a dohoda o pracovní činnosti (§75 a 76 zákona č. 262/2006 Sb.).</w:t>
      </w:r>
      <w:bookmarkEnd w:id="33"/>
    </w:p>
    <w:p w:rsidR="008F402D" w:rsidRPr="0020456C" w:rsidRDefault="008F402D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402D" w:rsidRPr="0020456C" w:rsidRDefault="008F402D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 nesmí přesáhnout obvyklou výši platnou v organizaci zaměstnance pro danou pozici. V případě, že se jedná o nově vytvořenou pozici, vychází se z výše osobních nákladů na obdobnou pracovní pozici</w:t>
      </w:r>
      <w:r w:rsidR="00BF2E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F2E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organizaci. V případě, že obdobná pozice v organizaci neexistuje, vychází se při stanovení výše maximálních osobních nákladů z obvyklé výše osobních nákladů v daném oboru, čase a místě. V tomto případě jsou stanoveny maximální limity pro základní typové pozice uvedené příloze č. 2 bez ohledu na druh smlouvy.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4" w:name="_Toc445447282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Proplácení osobních nákladů probíhá</w:t>
      </w:r>
      <w:r w:rsidR="00B31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buď na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základě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skutečných výdajů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včetně proplácení na hodinovém základě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delegování pracovníků pro projekt na část jejich úvazku, anebo v podobě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sazby osobních nákladů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1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O tom, která metoda se uplatní</w:t>
      </w:r>
      <w:r w:rsidR="00BE62F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celou dobu trvání projektu</w:t>
      </w:r>
      <w:r w:rsidR="00BE62F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(vykazování na základě skutečných výdajů nebo paušální sazbou)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rozhodne žadatel při podání žádosti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2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34"/>
      <w:r w:rsidR="00BE62F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Následně je třeba používat vybranou metodu vykazování osobních nákladů po celou dobu trvání projektu.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Skutečné osobní náklady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68C3" w:rsidRPr="0020456C" w:rsidRDefault="006D5EEC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zaměstnance</w:t>
      </w:r>
      <w:r w:rsidR="00DA68C3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skládají z hrubých mzdových výdajů na zaměstnance zaměstnané příjemcem jední</w:t>
      </w:r>
      <w:r w:rsidR="00DA68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 z těchto způsobů:</w:t>
      </w:r>
    </w:p>
    <w:p w:rsidR="0095274A" w:rsidRPr="0020456C" w:rsidRDefault="0095274A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0851" w:rsidRPr="0020456C" w:rsidRDefault="00ED0851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>na plný úvazek</w:t>
      </w:r>
      <w:r w:rsidR="0095274A" w:rsidRPr="0020456C">
        <w:rPr>
          <w:rFonts w:ascii="Times New Roman" w:hAnsi="Times New Roman"/>
          <w:sz w:val="24"/>
          <w:szCs w:val="24"/>
          <w:lang w:eastAsia="cs-CZ"/>
        </w:rPr>
        <w:t>;</w:t>
      </w:r>
    </w:p>
    <w:p w:rsidR="00ED0851" w:rsidRPr="0020456C" w:rsidRDefault="00ED0851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>na částečný úvazek s pevně stanoveným procentním podílem odpracované doby za měsíc</w:t>
      </w:r>
      <w:r w:rsidR="0095274A" w:rsidRPr="0020456C">
        <w:rPr>
          <w:rFonts w:ascii="Times New Roman" w:hAnsi="Times New Roman"/>
          <w:sz w:val="24"/>
          <w:szCs w:val="24"/>
          <w:lang w:eastAsia="cs-CZ"/>
        </w:rPr>
        <w:t>;</w:t>
      </w:r>
    </w:p>
    <w:p w:rsidR="00745A75" w:rsidRPr="0020456C" w:rsidRDefault="00ED0851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 xml:space="preserve">na částečný úvazek </w:t>
      </w:r>
      <w:r w:rsidR="0095274A" w:rsidRPr="0020456C">
        <w:rPr>
          <w:rFonts w:ascii="Times New Roman" w:hAnsi="Times New Roman"/>
          <w:sz w:val="24"/>
          <w:szCs w:val="24"/>
          <w:lang w:eastAsia="cs-CZ"/>
        </w:rPr>
        <w:t>s pružným počtem odpracovaných hodin za měsíc;</w:t>
      </w:r>
    </w:p>
    <w:p w:rsidR="00791022" w:rsidRPr="00D7228E" w:rsidRDefault="0095274A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D7228E">
        <w:rPr>
          <w:rFonts w:ascii="Times New Roman" w:hAnsi="Times New Roman"/>
          <w:sz w:val="24"/>
          <w:szCs w:val="24"/>
          <w:lang w:eastAsia="cs-CZ"/>
        </w:rPr>
        <w:t>na hodinovém základě.</w:t>
      </w:r>
    </w:p>
    <w:p w:rsidR="006D5EEC" w:rsidRPr="0020456C" w:rsidRDefault="00DA68C3" w:rsidP="0020456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D5EEC" w:rsidRPr="0020456C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 mohou být k projektu přiřazeny úplně</w:t>
      </w:r>
      <w:r w:rsidR="00416386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a)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 alikvotní části</w:t>
      </w:r>
      <w:r w:rsidR="0041638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b a c)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91022" w:rsidRPr="0020456C" w:rsidRDefault="00791022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7D60" w:rsidRPr="0020456C" w:rsidRDefault="007A7D60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Plný úvazek na projekt (případ a)</w:t>
      </w:r>
    </w:p>
    <w:p w:rsidR="00717D18" w:rsidRPr="0020456C" w:rsidRDefault="00717D1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zaměstnanec podílí na realizaci projektu celým svým pracovním úvazkem, nemusí povinně vyplňovat výkazy práce/</w:t>
      </w:r>
      <w:proofErr w:type="spellStart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</w:t>
      </w:r>
      <w:proofErr w:type="spellEnd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Z dokladu o zaměstnání z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aměstnance pracujícího na plný úvazek (pracovní smlouva/dohoda apod.) musí vyplývat, že zaměstnanec provádí činnosti vztahující se výhradně k projektu.</w:t>
      </w:r>
      <w:r w:rsidR="000C0F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0F61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V dokladu o zaměstnání musí být také uveden popis činností, které bude daný zaměstnanec na projektu vykonávat a v jakých pracovních balíčcích – </w:t>
      </w:r>
      <w:proofErr w:type="spellStart"/>
      <w:r w:rsidR="000C0F61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work</w:t>
      </w:r>
      <w:proofErr w:type="spellEnd"/>
      <w:r w:rsidR="000C0F61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="000C0F61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packages</w:t>
      </w:r>
      <w:proofErr w:type="spellEnd"/>
      <w:r w:rsidR="000C0F61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WP</w:t>
      </w:r>
      <w:r w:rsidR="00025BD3" w:rsidRPr="00BC0FF0">
        <w:rPr>
          <w:rStyle w:val="Znakapoznpodarou"/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footnoteReference w:id="13"/>
      </w:r>
      <w:r w:rsidR="000C0F61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="000C0F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17FC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 případě, že se zaměstnanec nepodílí na realizaci projektu celým svým pracovním úvazkem, je způsobilá alikvotní část mzdových nákladů a povinných odvodů zaměstnavatele za zaměstnance odpovídající míře zapojení zaměstnance do realizace projektu</w:t>
      </w:r>
      <w:r w:rsidR="005C6D1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b a c)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C6D12" w:rsidRPr="0020456C" w:rsidRDefault="005C6D1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6D12" w:rsidRPr="0020456C" w:rsidRDefault="002B3C5E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Částečný </w:t>
      </w:r>
      <w:r w:rsidRPr="0020456C">
        <w:rPr>
          <w:rFonts w:ascii="Times New Roman" w:hAnsi="Times New Roman"/>
          <w:b/>
          <w:sz w:val="24"/>
          <w:szCs w:val="24"/>
          <w:lang w:eastAsia="cs-CZ"/>
        </w:rPr>
        <w:t>úvazek s pevně stanoveným procentním podílem odpracované doby za měsíc</w:t>
      </w:r>
      <w:r w:rsidRPr="00D7228E">
        <w:rPr>
          <w:rFonts w:ascii="Times New Roman" w:hAnsi="Times New Roman"/>
          <w:b/>
          <w:sz w:val="24"/>
          <w:szCs w:val="24"/>
          <w:lang w:eastAsia="cs-CZ"/>
        </w:rPr>
        <w:t xml:space="preserve"> (případ b)</w:t>
      </w:r>
    </w:p>
    <w:p w:rsidR="002B3C5E" w:rsidRPr="0020456C" w:rsidRDefault="00E97461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>V tomto případě nevzniká povinnost zřídit separátní systém evidence pracovní doby (výkazy práce/</w:t>
      </w:r>
      <w:proofErr w:type="spellStart"/>
      <w:r w:rsidRPr="0020456C">
        <w:rPr>
          <w:rFonts w:ascii="Times New Roman" w:hAnsi="Times New Roman"/>
          <w:sz w:val="24"/>
          <w:szCs w:val="24"/>
          <w:lang w:eastAsia="cs-CZ"/>
        </w:rPr>
        <w:t>timesheet</w:t>
      </w:r>
      <w:proofErr w:type="spellEnd"/>
      <w:r w:rsidRPr="0020456C">
        <w:rPr>
          <w:rFonts w:ascii="Times New Roman" w:hAnsi="Times New Roman"/>
          <w:sz w:val="24"/>
          <w:szCs w:val="24"/>
          <w:lang w:eastAsia="cs-CZ"/>
        </w:rPr>
        <w:t xml:space="preserve">). </w:t>
      </w:r>
      <w:r w:rsidR="00AC22C5" w:rsidRPr="0020456C">
        <w:rPr>
          <w:rFonts w:ascii="Times New Roman" w:hAnsi="Times New Roman"/>
          <w:sz w:val="24"/>
          <w:szCs w:val="24"/>
          <w:lang w:eastAsia="cs-CZ"/>
        </w:rPr>
        <w:t>Zaměstnavatel</w:t>
      </w:r>
      <w:r w:rsidR="00AC22C5">
        <w:rPr>
          <w:rFonts w:ascii="Times New Roman" w:hAnsi="Times New Roman"/>
          <w:sz w:val="24"/>
          <w:szCs w:val="24"/>
          <w:lang w:eastAsia="cs-CZ"/>
        </w:rPr>
        <w:t xml:space="preserve"> se zaměstnancem</w:t>
      </w:r>
      <w:r w:rsidR="00B51990" w:rsidRPr="0020456C">
        <w:rPr>
          <w:rFonts w:ascii="Times New Roman" w:hAnsi="Times New Roman"/>
          <w:sz w:val="24"/>
          <w:szCs w:val="24"/>
          <w:lang w:eastAsia="cs-CZ"/>
        </w:rPr>
        <w:t xml:space="preserve"> však musí vystavit dokument</w:t>
      </w:r>
      <w:r w:rsidR="00944A8E">
        <w:rPr>
          <w:rFonts w:ascii="Times New Roman" w:hAnsi="Times New Roman"/>
          <w:sz w:val="24"/>
          <w:szCs w:val="24"/>
          <w:lang w:eastAsia="cs-CZ"/>
        </w:rPr>
        <w:t xml:space="preserve"> (doklad o zaměstná</w:t>
      </w:r>
      <w:r w:rsidR="00AC22C5">
        <w:rPr>
          <w:rFonts w:ascii="Times New Roman" w:hAnsi="Times New Roman"/>
          <w:sz w:val="24"/>
          <w:szCs w:val="24"/>
          <w:lang w:eastAsia="cs-CZ"/>
        </w:rPr>
        <w:t>ní</w:t>
      </w:r>
      <w:r w:rsidR="0000154D">
        <w:rPr>
          <w:rFonts w:ascii="Times New Roman" w:hAnsi="Times New Roman"/>
          <w:sz w:val="24"/>
          <w:szCs w:val="24"/>
          <w:lang w:eastAsia="cs-CZ"/>
        </w:rPr>
        <w:t xml:space="preserve"> – pracovní smlouva, dohoda apod.)</w:t>
      </w:r>
      <w:r w:rsidR="00B51990" w:rsidRPr="0020456C">
        <w:rPr>
          <w:rFonts w:ascii="Times New Roman" w:hAnsi="Times New Roman"/>
          <w:sz w:val="24"/>
          <w:szCs w:val="24"/>
          <w:lang w:eastAsia="cs-CZ"/>
        </w:rPr>
        <w:t>, v němž bude jednoznačně stanoven procentní podíl pracovní doby odpracované na projektu.</w:t>
      </w:r>
      <w:r w:rsidR="006405D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405D4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V dokladu o zaměstnání musí být také uveden popis činností, které bude daný zaměstnanec na projektu vykonávat a v jakých pracovních balíčcích – </w:t>
      </w:r>
      <w:proofErr w:type="spellStart"/>
      <w:r w:rsidR="006405D4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work</w:t>
      </w:r>
      <w:proofErr w:type="spellEnd"/>
      <w:r w:rsidR="006405D4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="006405D4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packages</w:t>
      </w:r>
      <w:proofErr w:type="spellEnd"/>
      <w:r w:rsidR="006405D4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WP</w:t>
      </w:r>
      <w:r w:rsidR="006405D4" w:rsidRPr="00BC0FF0">
        <w:rPr>
          <w:rStyle w:val="Znakapoznpodarou"/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footnoteReference w:id="14"/>
      </w:r>
      <w:r w:rsidR="006405D4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 V případě, že daný zaměstnanec pracuje ještě na jiném projektu, je třeba v dokumentu uvést i název tohoto projektu a zdroj financování, včetně procentuálního rozdělení času na jedno</w:t>
      </w:r>
      <w:r w:rsidR="009E291E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tlivé projekty</w:t>
      </w:r>
      <w:r w:rsidR="006405D4" w:rsidRPr="00BC0FF0">
        <w:rPr>
          <w:rStyle w:val="Znakapoznpodarou"/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footnoteReference w:id="15"/>
      </w:r>
      <w:r w:rsidR="006405D4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="00640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5391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51990" w:rsidRPr="0020456C" w:rsidRDefault="00B5199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51990" w:rsidRPr="0020456C" w:rsidRDefault="00B5199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hAnsi="Times New Roman"/>
          <w:b/>
          <w:sz w:val="24"/>
          <w:szCs w:val="24"/>
          <w:lang w:eastAsia="cs-CZ"/>
        </w:rPr>
        <w:t>Částečný úvazek s pružným počtem odpracovaných hodin za měsíc (případ c)</w:t>
      </w:r>
    </w:p>
    <w:p w:rsidR="00D06524" w:rsidRPr="0020456C" w:rsidRDefault="00B5538E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D06524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těchto osobních nákladů je nezbytně nutné, aby výsledky a pracovní hodiny odpracované na projektu byly kromě pracovní smlouvy doloženy navíc také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výkazy práce/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(podepsanými </w:t>
      </w:r>
      <w:r w:rsidR="00B765E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osobou, která práci vykonala, i příjemcem</w:t>
      </w:r>
      <w:r w:rsidR="005533A3">
        <w:rPr>
          <w:rFonts w:ascii="Times New Roman" w:eastAsia="Times New Roman" w:hAnsi="Times New Roman" w:cs="Times New Roman"/>
          <w:sz w:val="24"/>
          <w:szCs w:val="24"/>
          <w:lang w:eastAsia="cs-CZ"/>
        </w:rPr>
        <w:t>/zaměstnavatelem</w:t>
      </w:r>
      <w:r w:rsidR="00B765E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Výkazy</w:t>
      </w:r>
      <w:r w:rsidR="00B765E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práce/</w:t>
      </w:r>
      <w:proofErr w:type="spellStart"/>
      <w:r w:rsidR="00B765E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pokrývat 100% pracovní doby daného zaměstnance pro danou organizaci (tedy i odpracované hodiny</w:t>
      </w:r>
      <w:r w:rsidR="00D0652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na projekt nevztahují</w:t>
      </w:r>
      <w:r w:rsidR="00553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533A3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např. hodiny odpracované na jiném projektu</w:t>
      </w:r>
      <w:r w:rsidR="00D06524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).</w:t>
      </w:r>
      <w:r w:rsidR="006F60C3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384D4E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U programu CENTRAL je třeba, aby v </w:t>
      </w:r>
      <w:proofErr w:type="spellStart"/>
      <w:r w:rsidR="00384D4E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timesheetu</w:t>
      </w:r>
      <w:proofErr w:type="spellEnd"/>
      <w:r w:rsidR="00384D4E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byly rozděleny odpracované hodiny i podle jednotlivých </w:t>
      </w:r>
      <w:proofErr w:type="spellStart"/>
      <w:r w:rsidR="00384D4E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Work</w:t>
      </w:r>
      <w:proofErr w:type="spellEnd"/>
      <w:r w:rsidR="00384D4E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="00384D4E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Packages</w:t>
      </w:r>
      <w:proofErr w:type="spellEnd"/>
      <w:r w:rsidR="00E74FAB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/WP</w:t>
      </w:r>
      <w:r w:rsidR="00384D4E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="00AC22C5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Vzor </w:t>
      </w:r>
      <w:proofErr w:type="spellStart"/>
      <w:r w:rsidR="00AC22C5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timesheetu</w:t>
      </w:r>
      <w:proofErr w:type="spellEnd"/>
      <w:r w:rsidR="00AC22C5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je součástí </w:t>
      </w:r>
      <w:r w:rsidR="00E31EFC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</w:t>
      </w:r>
      <w:r w:rsidR="00944A8E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řílohy</w:t>
      </w:r>
      <w:r w:rsidR="00AC22C5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- Náležitostí dokladování</w:t>
      </w:r>
      <w:r w:rsidR="00E31EFC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="00E31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4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06524" w:rsidRPr="0020456C" w:rsidRDefault="00D06524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2A15" w:rsidRPr="0020456C" w:rsidRDefault="00512A15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Proplácení osobních nákladů </w:t>
      </w:r>
      <w:r w:rsidR="006E0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(pro případ c)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probíhá na základě hodinové </w:t>
      </w:r>
      <w:r w:rsidR="00DE716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sazby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se stanoví jedním z těchto způsobů:</w:t>
      </w:r>
    </w:p>
    <w:p w:rsidR="00512A15" w:rsidRPr="0020456C" w:rsidRDefault="00512A15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1691" w:rsidRPr="0020456C" w:rsidRDefault="00C21691" w:rsidP="0020456C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>podílem měsíčních hrubých mzdových nákladů a měsíční pracovní doby stanovené v pracovní smlouvě (dokladu o zaměstnání) a vyjádřené v hodinách</w:t>
      </w:r>
      <w:r w:rsidR="006B606B" w:rsidRPr="0020456C"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16"/>
      </w:r>
      <w:r w:rsidRPr="0020456C">
        <w:rPr>
          <w:rFonts w:ascii="Times New Roman" w:hAnsi="Times New Roman"/>
          <w:sz w:val="24"/>
          <w:szCs w:val="24"/>
          <w:lang w:eastAsia="cs-CZ"/>
        </w:rPr>
        <w:t>, nebo</w:t>
      </w:r>
    </w:p>
    <w:p w:rsidR="00DD6258" w:rsidRPr="0020456C" w:rsidRDefault="003930B3" w:rsidP="0020456C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 xml:space="preserve">podílem posledních doložených ročních hrubých </w:t>
      </w:r>
      <w:r w:rsidR="005C1C77" w:rsidRPr="0020456C">
        <w:rPr>
          <w:rFonts w:ascii="Times New Roman" w:hAnsi="Times New Roman"/>
          <w:sz w:val="24"/>
          <w:szCs w:val="24"/>
          <w:lang w:eastAsia="cs-CZ"/>
        </w:rPr>
        <w:t>mzdových nákladů (tj. mzdových nákladů za posledních 12 po sobě jdoucích měsíců) a 1720 hodin v souladu s čl. 68, odst. 2, nařízení (EU) č. 1303/2013.</w:t>
      </w:r>
      <w:r w:rsidR="00C67AA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DD6258" w:rsidRPr="00D7228E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2264" w:rsidRPr="0020456C" w:rsidRDefault="00872264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Takto stanovená hodinová sazba se poté vynásobí počtem hodin skutečně odpracovaných na projektu.</w:t>
      </w:r>
    </w:p>
    <w:p w:rsidR="00EF11A2" w:rsidRPr="0020456C" w:rsidRDefault="00EF11A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11A2" w:rsidRPr="0020456C" w:rsidRDefault="00EF11A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povinen si</w:t>
      </w:r>
      <w:r w:rsidR="00E73AD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nákladů na zaměstnance pracující na projektu na částečný úvazek s pružným podílem hrubých mzdových nákladů v souladu s počtem hodin odpracovaných na projektu a měnících se každý měsíc</w:t>
      </w:r>
      <w:r w:rsidR="00E73AD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vybrat pro každého zaměstnance podílejícího se na realizaci projektu, jednu z tě</w:t>
      </w:r>
      <w:r w:rsidR="00AA015B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chto dvou uvedených metod a tu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používat po celou dobu realizace projektu</w:t>
      </w:r>
      <w:r w:rsidRPr="00D7228E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7"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F11A2" w:rsidRDefault="00EF11A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9D2" w:rsidRDefault="00DE09D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09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Hodinová sazba (případ d)</w:t>
      </w:r>
    </w:p>
    <w:p w:rsidR="00DE09D2" w:rsidRPr="00DE09D2" w:rsidRDefault="00DE09D2" w:rsidP="00B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Hodinová sazba uvedená v pracovní smlouvě (dokladu o zaměstnání) se vynásobí skutečně odpracovanou dobou na projektu. </w:t>
      </w:r>
      <w:r w:rsidR="00FB27DF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Pro vyúčtování těchto osobních nákladů je nezbytně nutné, aby byly</w:t>
      </w:r>
      <w:r w:rsidR="00FB2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doloženy,</w:t>
      </w:r>
      <w:r w:rsidR="00FB27DF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</w:t>
      </w:r>
      <w:r w:rsidR="00FB2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 smlouvy,</w:t>
      </w:r>
      <w:r w:rsidR="00FB27DF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</w:t>
      </w:r>
      <w:r w:rsidR="00FB27D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výkazy práce/</w:t>
      </w:r>
      <w:proofErr w:type="spellStart"/>
      <w:r w:rsidR="00FB27D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="00FB27D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(podepsanými osobou, která práci vykonala, i příjemcem).</w:t>
      </w:r>
    </w:p>
    <w:p w:rsidR="00ED7C33" w:rsidRDefault="00ED7C33" w:rsidP="005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0344" w:rsidRDefault="004302A6" w:rsidP="005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U programu CENTRAL je u všech výše uvedených metod</w:t>
      </w:r>
      <w:r w:rsidR="00CD60E5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(případ a) </w:t>
      </w:r>
      <w:r w:rsidR="00BC0FF0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až d)) vykazování</w:t>
      </w: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mzdových výdajů</w:t>
      </w:r>
      <w:r w:rsidR="00D40344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nutné</w:t>
      </w: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dodat i tzv.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Periodic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staff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report</w:t>
      </w:r>
      <w:r w:rsidR="00D40344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, která</w:t>
      </w:r>
      <w:r w:rsidR="00BD72E1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je přílohou č. 4b Implementačního manuálu. </w:t>
      </w:r>
      <w:proofErr w:type="spellStart"/>
      <w:r w:rsidR="00BD72E1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Periodic</w:t>
      </w:r>
      <w:proofErr w:type="spellEnd"/>
      <w:r w:rsidR="00BD72E1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="00BD72E1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staff</w:t>
      </w:r>
      <w:proofErr w:type="spellEnd"/>
      <w:r w:rsidR="00BD72E1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report </w:t>
      </w:r>
      <w:r w:rsidR="00D40344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m</w:t>
      </w:r>
      <w:r w:rsidR="00BD72E1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usí obsahovat shrnutí práce jednotlivého zaměstnance na projektu, včetně dosažených výstupů za dané </w:t>
      </w:r>
      <w:proofErr w:type="spellStart"/>
      <w:r w:rsidR="00BD72E1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reportovací</w:t>
      </w:r>
      <w:proofErr w:type="spellEnd"/>
      <w:r w:rsidR="00BD72E1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období. Tento dokument musí být podepsán zaměstnancem a jeho nadřízeným</w:t>
      </w:r>
      <w:r w:rsidR="00D40344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pracovníkem</w:t>
      </w:r>
      <w:r w:rsidR="00BD72E1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</w:p>
    <w:p w:rsidR="004302A6" w:rsidRPr="0020456C" w:rsidRDefault="00BD72E1" w:rsidP="005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Pr="0020456C" w:rsidRDefault="00F57027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sazba</w:t>
      </w:r>
      <w:r w:rsidR="00DD6258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ED7C33" w:rsidRPr="0020456C" w:rsidRDefault="006D1535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náklady </w:t>
      </w:r>
      <w:r w:rsidR="00A87087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 nárokovat paušální sazbou u programů D</w:t>
      </w:r>
      <w:r w:rsidR="004E14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ANUBE a CENTRAL. Její výše činí 20 % z</w:t>
      </w:r>
      <w:r w:rsidR="001F4A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E14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nárokovaných</w:t>
      </w:r>
      <w:r w:rsidR="001F4A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přímých výdajů z těchto rozpočtových položek: cestovné a ubytování,</w:t>
      </w:r>
      <w:r w:rsidR="004E14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66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na exter</w:t>
      </w:r>
      <w:r w:rsidR="001F4A9E">
        <w:rPr>
          <w:rFonts w:ascii="Times New Roman" w:eastAsia="Times New Roman" w:hAnsi="Times New Roman" w:cs="Times New Roman"/>
          <w:sz w:val="24"/>
          <w:szCs w:val="24"/>
          <w:lang w:eastAsia="cs-CZ"/>
        </w:rPr>
        <w:t>ní odborné poradenství a služby,</w:t>
      </w:r>
      <w:r w:rsidR="003566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výdaje na vybavení a výdaje na infrastrukturu a práce</w:t>
      </w:r>
      <w:r w:rsidR="00ED7C3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D7C33" w:rsidRPr="0020456C" w:rsidRDefault="00ED7C33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CD3979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Detailní p</w:t>
      </w:r>
      <w:r w:rsidR="008E0B3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ožadavky na dokládání mzdových výdajů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programy jsou uvedeny v programových dokumentech uvedených v úvodu těchto Pokynů. Dále</w:t>
      </w:r>
      <w:r w:rsidR="008E0B3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požadavky na dokladování</w:t>
      </w:r>
      <w:r w:rsidR="008E0B3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uvedeny v příloze </w:t>
      </w:r>
      <w:r w:rsidR="008E0B32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Náležitosti dokladování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57F91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Partneři mají povinnost se s těmito požadavky seznámit.</w:t>
      </w:r>
      <w:r w:rsidR="003566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65EA" w:rsidRPr="0020456C" w:rsidRDefault="00F565EA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Příklady výpočtu</w:t>
      </w:r>
      <w:r w:rsidR="00A07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výše uvedené metody najdete v programových dokumentech:</w:t>
      </w:r>
    </w:p>
    <w:p w:rsidR="00DD6258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FE" w:rsidRPr="00D7228E" w:rsidRDefault="00A071FE" w:rsidP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EUROPE: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5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Programový manuál</w:t>
        </w:r>
      </w:hyperlink>
      <w:r w:rsidR="00D475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71FE" w:rsidRPr="0020456C" w:rsidRDefault="00A071FE" w:rsidP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FE" w:rsidRPr="00D7228E" w:rsidRDefault="00A071FE" w:rsidP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CENTRAL EUROPE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6" w:history="1">
        <w:proofErr w:type="spellStart"/>
        <w:r w:rsidR="00024D55"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="00024D55"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024D55"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024D55"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024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7" w:history="1">
        <w:proofErr w:type="spellStart"/>
        <w:r w:rsidR="00024D55" w:rsidRPr="004932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Application</w:t>
        </w:r>
        <w:proofErr w:type="spellEnd"/>
        <w:r w:rsidR="00024D55" w:rsidRPr="004932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024D55" w:rsidRPr="004932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:rsidR="00A071FE" w:rsidRPr="0020456C" w:rsidRDefault="00A071FE" w:rsidP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FE" w:rsidRPr="00D7228E" w:rsidRDefault="00A071FE" w:rsidP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DANUBE: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8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</w:t>
        </w:r>
        <w:r w:rsidR="00E6310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ject</w:t>
        </w:r>
        <w:r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E31EF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E31EF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E31EFC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31EFC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="00E31EFC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31EFC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71FE" w:rsidRPr="0020456C" w:rsidRDefault="00A071FE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35" w:name="_Toc445447285"/>
      <w:r w:rsidRPr="002045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Publicita</w:t>
      </w:r>
      <w:bookmarkEnd w:id="35"/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partneři jsou povinni dostatečně zviditelňovat a prezentovat finanční účast evropských prostředků na realizaci projektu. Pravidla pro propagaci projektů financovaných v rámci Programu se řídí čl. 115 Nařízení Evropského parlamentu a Rady (EU) č. 1303/2013 a přílohou č. XII (čl. 2.2) tohoto Nařízení. Dále pak Prováděcím nařízením Komise (EU) č. 821/2014, kapitolou II a přílohou č. II tohoto Nařízení.  Zároveň každý program vypracoval manuál publicity, který je pro všechny příjemce klíčovým dokumentem v této oblasti a je třeba se jim řídit.  Jedná se o tyto dokumenty: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EUROPE – </w:t>
      </w:r>
      <w:hyperlink r:id="rId19" w:history="1"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Interreg</w:t>
        </w:r>
        <w:proofErr w:type="spellEnd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Europe</w:t>
        </w:r>
        <w:proofErr w:type="spellEnd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Graphic</w:t>
        </w:r>
        <w:proofErr w:type="spellEnd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r w:rsidR="00943C2E"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Identity</w:t>
        </w:r>
      </w:hyperlink>
      <w:r w:rsidR="00943C2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43C2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Guide</w:t>
      </w:r>
      <w:proofErr w:type="spellEnd"/>
    </w:p>
    <w:p w:rsidR="00DD6258" w:rsidRPr="0020456C" w:rsidRDefault="00DD6258" w:rsidP="0020456C">
      <w:pPr>
        <w:autoSpaceDE w:val="0"/>
        <w:autoSpaceDN w:val="0"/>
        <w:adjustRightInd w:val="0"/>
        <w:spacing w:after="160" w:line="259" w:lineRule="auto"/>
        <w:ind w:left="1080"/>
        <w:contextualSpacing/>
        <w:jc w:val="both"/>
        <w:rPr>
          <w:rFonts w:eastAsia="Times New Roman" w:cs="Times New Roman"/>
        </w:rPr>
      </w:pPr>
    </w:p>
    <w:p w:rsidR="00DD6258" w:rsidRPr="00D7228E" w:rsidRDefault="00DD6258" w:rsidP="0020456C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20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Project Brand </w:t>
        </w:r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 – </w:t>
      </w:r>
      <w:hyperlink r:id="rId21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Project </w:t>
        </w:r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Visual</w:t>
        </w:r>
        <w:proofErr w:type="spellEnd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Identity </w:t>
        </w:r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Guidelines</w:t>
        </w:r>
        <w:proofErr w:type="spellEnd"/>
      </w:hyperlink>
    </w:p>
    <w:p w:rsidR="0083743C" w:rsidRPr="00D7228E" w:rsidRDefault="0083743C" w:rsidP="0020456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jsou povinnosti v oblasti publicity ošetřeny v 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20C9E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Každý projektový partner zodpovídá za zajištění propagace své části projektu</w:t>
      </w:r>
      <w:r w:rsidR="000C33D2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Veškerá informační a propagační opatření musí zahrnovat tyto údaje:</w:t>
      </w:r>
    </w:p>
    <w:p w:rsidR="00E46D40" w:rsidRPr="0020456C" w:rsidRDefault="00E46D4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logo programu (loga jednotlivých programů jsou uveřejněna na internetových stránkách </w:t>
      </w:r>
      <w:hyperlink r:id="rId22" w:history="1">
        <w:r w:rsidRPr="00D72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www.interregeurope.eu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3" w:history="1">
        <w:r w:rsidR="00920C9E"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www.interreg-central.eu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4" w:history="1">
        <w:r w:rsidR="00920C9E"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www.interreg-danube.eu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symbol Evropské unie v souladu s grafickými normami stanovenými v příloze II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821/2014, kterým se stanoví pravidla pro uplatňování nařízení (EU) č. 1303/2013 a odkaz</w:t>
      </w:r>
      <w:r w:rsidRPr="00D7228E">
        <w:rPr>
          <w:rFonts w:eastAsia="Times New Roman" w:cs="Times New Roman"/>
          <w:vertAlign w:val="superscript"/>
        </w:rPr>
        <w:footnoteReference w:id="18"/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na Evropskou unii;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odkaz na Evropský fond pro regionální rozvoj (</w:t>
      </w:r>
      <w:proofErr w:type="spellStart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Regional</w:t>
      </w:r>
      <w:proofErr w:type="spellEnd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Fund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:rsidR="00F05DAA" w:rsidRPr="00D7228E" w:rsidRDefault="00F05DAA" w:rsidP="0020456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:rsidR="00E46D40" w:rsidRPr="0020456C" w:rsidRDefault="00E46D40" w:rsidP="0020456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všech výše uvedených programů </w:t>
      </w:r>
      <w:r w:rsidR="005C0C9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ídící orgány zapracoval</w:t>
      </w:r>
      <w:r w:rsidR="006D226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logo EU a odkaz na ERDF do programového loga, které tak splňuje požadavky na publicitu. Na stránkách Programů jsou k dispozici (ke stažení) loga programu s logem EU, </w:t>
      </w:r>
      <w:r w:rsidR="006D226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jejichž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použití garantuje splnění všech výše uvedených náležitostí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9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(technické vlastnosti zobrazení znaku Unie je dáno čl. 4 </w:t>
      </w:r>
      <w:proofErr w:type="gramStart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821/2014 ). </w:t>
      </w: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D7228E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 věnovat pozornost také barevnému provedení propagačních opatření. Použitá loga mají přesné barevné náležitosti a to jak ve verzi barevné</w:t>
      </w:r>
      <w:r w:rsidR="006D226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černobílé. Předepsané barvy a grafické normy jsou uvedené v příloze č. II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 nebo na stránkách Programů.</w:t>
      </w: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jde o malé propagační předměty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0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(tužky, USB apod.)</w:t>
      </w:r>
      <w:r w:rsidRPr="002045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povinné použití odkazu na ERDF.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6D40" w:rsidRPr="0020456C" w:rsidRDefault="00E46D4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Pravidla pro správné zajištění publicity projektu </w:t>
      </w:r>
    </w:p>
    <w:p w:rsidR="00E46D40" w:rsidRPr="0020456C" w:rsidRDefault="00E46D4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Projektoví partneři zvolí vhodnou formu propagace odpovídající charakteru projektu tak, aby bylo zajištěno, že cílové skupiny budou informovány o tom, že projekt je realizován v rámci Programu, který je spolufinancován z Evropského fondu pro regionální rozvoj.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na publicitu jsou způsobilé k financování z ERDF, pokud jsou zahrnuty v rozpočtu projektu a splňují pravidla výše uvedená.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Projektový partner je povinen Kontrolorovi doložit, jakým způsobem propagoval svou část projektu. Ke kontrole výdajů je</w:t>
      </w:r>
      <w:r w:rsidR="0074695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třeba předložit fotodokumentaci pořízenou v průběhu konání akcí (na CD) a ukázky propagačních materiálů/předmětů. Veškeré propagační aktivity budou popsány ve zprávě o průběhu projektu.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Publicita se posuzuje z následujících hledisek: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jednotlivých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výstupů projektu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výstupem projektu se rozumí to, co slouží k naplnění cílů projektu (např. vydaná publikace, mapa, kulturní akce, školení, postavená infrastruktura, pořízené zařízení apod.). Projekt může mít více výstupů a v tom případě se povinná publicita posuzuje u každého samostatně. Cílem je posoudit, zda byla veřejnost či účastníci akce informováni o zdrojích financování daného výstupu projektu, a pokud ano, zda tyto informace splňovaly veškeré náležitosti povinné publicity;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jednotlivých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prostředků (nosičů) publicity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prostředkem publicity se rozumí např. plakáty, letáky, pozvánky apod., tj. předměty, jejichž cílem je upoutat pozornost veřejnosti a potenciálních účastníků na daný projekt, resp. jeho dílčí výstupy. Posuzuje se, zda tyto prostředky publicity obsahují veškeré náležitosti povinné publicity;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propagačních předmětů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propagačním předmětem se rozumí předměty, které nejsou z hlediska naplnění cílů projektů nezbytné, ale jejich přidaná hodnota spočívá v posílení povědomí o projektu. Opět se posuzuje, zda obsahují veškeré náležitosti povinné publicity. Stejným způsobem jako propagační předměty se posuzují i dary, ceny v soutěžích apod.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 za nedodržení pravidel publicity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nedodržení pravidel publicity může být na příslušného partnera uvalena sankce. Pro účely sankcí jsou porušení rozdělena do 3 kategorií: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úplně chybí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tj. nejsou provedena žádná z výše uvedených opatření, která mají informovat o finanční podpoře z Programu;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je nekompletní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opatření zajišťující informovanost o finanční podpoře z Programu jsou provedena, ovšem neobsahují veškeré náležitosti, které jsou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stanoveny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2.2, Přílohy XII Nařízení (EU) č. 1303/2013 rozšířené o požadavky Programu, tj.: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uvedení loga EU vč. odkazu na Evropskou unii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D7228E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uvedení odkazu na ERDF</w:t>
      </w:r>
      <w:r w:rsidRPr="00D722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footnoteReference w:id="21"/>
      </w:r>
      <w:r w:rsidRPr="00D722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(pokud se nejedná o malý propagační předmět),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uvedení loga programu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uvedení názvu projektu, cílů projektu, případně dalších informací o projektu, pokud jsou vyžadovány (v případě dočasného billboardu, trvalé pamětní desky, plakátu A3, internetových stran – viz programová dokumentace jednotlivých programů)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je nepředpisová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opatření zajišťující informovanost o finanční podpoře z Programu nesplňují náležitosti uvedené v čl. 4 </w:t>
      </w:r>
      <w:proofErr w:type="gramStart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Nařízení, tj.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nejsou dodrženy grafické standardy a pravidla pro barevné provedení loga, </w:t>
      </w:r>
      <w:r w:rsidR="00765901"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používání fontů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písma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nejsou dodržena pravidla pro umístění loga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nejsou dodržena pravidla týkající se velikosti loga a v případě dočasných billboardů a trvalých pamětních desek podílu plochy, které mají informace o projektu vč. loga zaujímat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D7228E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sankce v případě nedodržení publicity u konkrétního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výstupu projektu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pochybení je rozděleno dle závažnosti na 3 skupiny a ke každé skupině je stanoveno %, o které se krátí způsobilé výdaje přímo vynaložené v souvislosti s pořízením výstupu</w:t>
      </w:r>
      <w:r w:rsidRPr="00D7228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footnoteReference w:id="22"/>
      </w:r>
      <w:r w:rsidRPr="00D722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publicita úplně chybí – způsobilé výdaje se krátí ve výši 5 %,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nekompletní (nesplňuje všechny náležitosti uvedené v čl. 2.2, Přílohy XII Nařízení (EU) č. 1303/2013 – způsobilé výdaje se krátí ve výši 3 %,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nepředpisová (nesplňuje náležitosti uvedené v čl. 4 </w:t>
      </w:r>
      <w:proofErr w:type="gramStart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o 1 %.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sankce v případě nedodržení publicity u konkrétního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prostředku (nosiče) publicity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pochybení je rozděleno dle závažnosti na 3 skupiny a ke každé skupině je stanoveno %, o které se krátí způsobilé výdaje na daný prostředek publicity: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úplně chybí – způsobilé výdaje se krátí ve výši 50 %,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nekompletní (tj. nesplňuje všechny náležitosti uvedené čl. 2.2, Přílohy XII Nařízení (EU) č. 1303/2013 – způsobilé výdaje se krátí ve výši 25 %,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nepředpisová (tj. nesplňuje náležitosti uvedené v čl. 4 </w:t>
      </w:r>
      <w:proofErr w:type="gramStart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ve výši 15 %.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sankce v případě nedodržení publicity u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propagačního předmětu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pochybení je rozděleno dle závažnosti na 3 skupiny a ke každé skupině je stanoveno %, o které se krátí způsobilé výdaje na daný propagační předmět: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publicita úplně chybí – způsobilé výdaje se krátí ve výši 100 %,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nekompletní (tj. nesplňuje všechny náležitosti uvedené čl. 2.2, Přílohy XII Nařízení (EU) č. 1303/2013 – způsobilé výdaje se krátí ve výši 50 %,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532416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nepředpisová (tj. nesplňuje náležitosti uvedené v čl. 4 </w:t>
      </w:r>
      <w:proofErr w:type="gramStart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ve výši 25 %. </w:t>
      </w: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36" w:name="_Toc445447286"/>
      <w:r w:rsidRPr="002045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Postup předkládání zprávy o průběhu projektu a výdajů ke kontrole</w:t>
      </w:r>
      <w:bookmarkEnd w:id="36"/>
      <w:r w:rsidR="00C93CD4" w:rsidRPr="00BC0FF0">
        <w:rPr>
          <w:rStyle w:val="Znakapoznpodarou"/>
          <w:rFonts w:ascii="Times New Roman" w:eastAsia="Times New Roman" w:hAnsi="Times New Roman" w:cs="Times New Roman"/>
          <w:b/>
          <w:sz w:val="32"/>
          <w:szCs w:val="32"/>
          <w:highlight w:val="yellow"/>
          <w:lang w:eastAsia="cs-CZ"/>
        </w:rPr>
        <w:footnoteReference w:id="23"/>
      </w:r>
    </w:p>
    <w:p w:rsidR="00DD6258" w:rsidRPr="0020456C" w:rsidRDefault="00DD6258" w:rsidP="0020456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6.A.</w:t>
      </w:r>
      <w:proofErr w:type="gramEnd"/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K vaší první kontrole předložte: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Kopii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příloh, kopii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kopii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="0013283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nejsou aktuální verze nahrány v monitorovacím systému programu.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a) u neplátců DPH: Čestné prohlášení, že nejste plátci DPH</w:t>
      </w:r>
    </w:p>
    <w:p w:rsidR="00DD6258" w:rsidRPr="0020456C" w:rsidRDefault="00DD6258" w:rsidP="0020456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b) u plátců DPH: Registraci plátce DPH (stačí kopie); v případě nárokování DPH, jako způsobilého výdaje, prohlášení, že nemá nárok na odpočet DPH v rámci svého daňového přiznání. </w:t>
      </w:r>
    </w:p>
    <w:p w:rsidR="00DD6258" w:rsidRPr="0042467C" w:rsidRDefault="00DD6258" w:rsidP="0042467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Detailní rozpočet jednotlivého projektového partnera dle rozpočtových kapitol a u programu CENTRAL i dle WP, pokud nebyl předložen jako součást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Agreementu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není součástí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(vzorový formát viz </w:t>
      </w:r>
      <w:r w:rsidR="0022696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říloha</w:t>
      </w:r>
      <w:r w:rsidRPr="00424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</w:t>
      </w:r>
      <w:r w:rsidR="00FF7D9A" w:rsidRPr="0042467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42467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A3A2A" w:rsidRPr="0020456C" w:rsidRDefault="009A3A2A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Přílohu č. </w:t>
      </w:r>
      <w:r w:rsidR="00116B0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Přehled realizovaných a předpokládaných ZŘ</w:t>
      </w:r>
    </w:p>
    <w:p w:rsidR="00DD6258" w:rsidRPr="00D7228E" w:rsidRDefault="00DD6258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Předložit Přehled zaměstnanců projektu (vzorový formát </w:t>
      </w:r>
      <w:r w:rsidR="0022696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říloha č. </w:t>
      </w:r>
      <w:r w:rsidR="0022696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příp. jiný vlastní formát se stejnou vypovídací schopností)    </w:t>
      </w:r>
    </w:p>
    <w:p w:rsidR="00DD6258" w:rsidRPr="0020456C" w:rsidRDefault="00DD6258" w:rsidP="0020456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6.B.</w:t>
      </w:r>
      <w:proofErr w:type="gramEnd"/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Při první a každé další kontrole projektového partnera budeme požadovat: </w:t>
      </w: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byly schváleny změny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třeba je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předložit  aktuální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verzi těchto dokumentů</w:t>
      </w:r>
      <w:r w:rsidR="00811E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04D6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1EF4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tyto aktualizované dokumenty nejsou</w:t>
      </w:r>
      <w:r w:rsidR="00A04D6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uložen</w:t>
      </w:r>
      <w:r w:rsidR="00811EF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A04D6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monitorovacím systému programu</w:t>
      </w:r>
      <w:r w:rsidR="006962FF">
        <w:rPr>
          <w:rFonts w:ascii="Times New Roman" w:eastAsia="Times New Roman" w:hAnsi="Times New Roman" w:cs="Times New Roman"/>
          <w:sz w:val="24"/>
          <w:szCs w:val="24"/>
          <w:lang w:eastAsia="cs-CZ"/>
        </w:rPr>
        <w:t>, je třeba doložit</w:t>
      </w:r>
      <w:r w:rsidR="00811E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</w:t>
      </w:r>
      <w:r w:rsidR="00696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kopii</w:t>
      </w:r>
      <w:r w:rsidR="00A04D6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D7228E" w:rsidRDefault="009A3A2A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změny aktualizovanou p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</w:t>
      </w:r>
      <w:r w:rsidR="00E137F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Přehled realizovaných a předpokládaných ZŘ</w:t>
      </w:r>
    </w:p>
    <w:p w:rsidR="00DD6258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změny aktualizovanou </w:t>
      </w:r>
      <w:r w:rsidR="00E137F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</w:t>
      </w:r>
      <w:r w:rsidR="00E137F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6 – přehled zaměstnanců projektu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2568" w:rsidRPr="00BC0FF0" w:rsidRDefault="00CF256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U programu </w:t>
      </w:r>
      <w:r w:rsidR="0058259D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IE</w:t>
      </w: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anglicky vyplněnou přílohu č. 8 – List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of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expenditure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/List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of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Contracts</w:t>
      </w:r>
      <w:proofErr w:type="spellEnd"/>
      <w:r w:rsidR="006D68C9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</w:p>
    <w:p w:rsidR="00D11BB7" w:rsidRDefault="00863480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U programu 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="00DD6258" w:rsidRPr="00E126DE">
        <w:rPr>
          <w:rFonts w:ascii="Times New Roman" w:eastAsia="Times New Roman" w:hAnsi="Times New Roman" w:cs="Times New Roman"/>
          <w:sz w:val="24"/>
          <w:szCs w:val="24"/>
          <w:lang w:eastAsia="cs-CZ"/>
        </w:rPr>
        <w:t>právu o průběhu projektu</w:t>
      </w:r>
      <w:r w:rsidR="00DD6258" w:rsidRPr="00ED13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4"/>
      </w:r>
      <w:r w:rsidR="00DD6258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opatřenou datem a podpisy – vzor viz příloha </w:t>
      </w:r>
      <w:r w:rsidR="00EB46DC" w:rsidRP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7 </w:t>
      </w:r>
      <w:r w:rsidR="00DD6258" w:rsidRPr="0022316B">
        <w:rPr>
          <w:rFonts w:ascii="Times New Roman" w:eastAsia="Times New Roman" w:hAnsi="Times New Roman" w:cs="Times New Roman"/>
          <w:sz w:val="24"/>
          <w:szCs w:val="24"/>
          <w:lang w:eastAsia="cs-CZ"/>
        </w:rPr>
        <w:t>–. Popis aktivit uveden</w:t>
      </w:r>
      <w:r w:rsidR="00EB46DC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="00DD6258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průběžné zprávě musí korespondovat s účelem a aktivitou uvedené v </w:t>
      </w:r>
      <w:r w:rsidR="008E6CF1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D6258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 výdajů</w:t>
      </w:r>
      <w:r w:rsidR="006D68C9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CF2568"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CF2568"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2568"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DD6258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Zprávu o průběhu projektu předkládá partner vždy za každé </w:t>
      </w:r>
      <w:proofErr w:type="spellStart"/>
      <w:r w:rsidR="00DD6258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DD6258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a to i v případě, že v daném období neuplatňuje žádné výdaje. </w:t>
      </w:r>
      <w:r w:rsidR="003E5E1E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Zpráva o průběhu projektů se předkládá kontrolorům jako </w:t>
      </w:r>
      <w:r w:rsidR="006D68C9"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originál nebo </w:t>
      </w:r>
      <w:proofErr w:type="spellStart"/>
      <w:r w:rsidR="003E5E1E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sken</w:t>
      </w:r>
      <w:proofErr w:type="spellEnd"/>
      <w:r w:rsidR="006D68C9"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BC0FF0" w:rsidRDefault="00D11BB7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U programu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Central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je třeba předložit zprávu o průběhu projektu/Partner report, jejíž součástí je</w:t>
      </w:r>
      <w:r w:rsidR="006003F5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i</w:t>
      </w: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soupiska/List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of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Expenditure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prostřednictvím monitorovacího systému </w:t>
      </w: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lastRenderedPageBreak/>
        <w:t xml:space="preserve">programu –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eMS</w:t>
      </w:r>
      <w:proofErr w:type="spellEnd"/>
      <w:r w:rsidR="000A1769" w:rsidRPr="00BC0FF0">
        <w:rPr>
          <w:rStyle w:val="Znakapoznpodarou"/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footnoteReference w:id="25"/>
      </w: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 Popis aktivit  uvedených v </w:t>
      </w:r>
      <w:proofErr w:type="gram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Partner</w:t>
      </w:r>
      <w:proofErr w:type="gram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repor</w:t>
      </w:r>
      <w:r w:rsidR="006003F5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t</w:t>
      </w: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musí korespondovat s účelem a aktivitou uvedené v Soupisce výdajů/List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of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expenditure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Partner report projektu předkládá partner vždy za každé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reportovací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období, a to i v případě, že v daném období neuplatňuje žádné výdaje</w:t>
      </w:r>
      <w:r w:rsidRPr="00BC0FF0">
        <w:rPr>
          <w:rStyle w:val="Znakapoznpodarou"/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footnoteReference w:id="26"/>
      </w: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</w:p>
    <w:p w:rsidR="00DD6258" w:rsidRPr="0020456C" w:rsidRDefault="00DD6258" w:rsidP="0020456C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změnách kontaktních údajů partnera, statutárního zástupce nebo kontaktní osoby, </w:t>
      </w:r>
      <w:r w:rsidRPr="002045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aktuálně platný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podle rozpočtových kapitol a u programu CENTRAL i dle WP (v případě změn). Pokud dojde k překročení v některé </w:t>
      </w:r>
      <w:r w:rsidR="0029227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kapitole nebo WP u programu CENTRAL, je třeba doložit i písemný souhlas LP s překročením. </w:t>
      </w:r>
    </w:p>
    <w:p w:rsidR="00780935" w:rsidRPr="00BC0FF0" w:rsidRDefault="009D6716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Pro program IE s</w:t>
      </w:r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oupisku výdajů</w:t>
      </w:r>
      <w:r w:rsidR="006D68C9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/List </w:t>
      </w:r>
      <w:proofErr w:type="spellStart"/>
      <w:r w:rsidR="006D68C9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of</w:t>
      </w:r>
      <w:proofErr w:type="spellEnd"/>
      <w:r w:rsidR="006D68C9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="006D68C9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expenditure</w:t>
      </w:r>
      <w:proofErr w:type="spellEnd"/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opatřenou datem a podpisy - vzor </w:t>
      </w:r>
      <w:proofErr w:type="gramStart"/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viz</w:t>
      </w: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příloha</w:t>
      </w:r>
      <w:proofErr w:type="gramEnd"/>
      <w:r w:rsidR="00B40853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č. 8</w:t>
      </w:r>
      <w:r w:rsidR="006003F5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7434E5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(</w:t>
      </w:r>
      <w:r w:rsidR="00B40853" w:rsidRPr="00BC0FF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 xml:space="preserve">pro </w:t>
      </w:r>
      <w:proofErr w:type="spellStart"/>
      <w:r w:rsidR="00B40853" w:rsidRPr="00BC0FF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Interreg</w:t>
      </w:r>
      <w:proofErr w:type="spellEnd"/>
      <w:r w:rsidR="00B40853" w:rsidRPr="00BC0FF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 xml:space="preserve"> </w:t>
      </w:r>
      <w:proofErr w:type="spellStart"/>
      <w:r w:rsidR="00B40853" w:rsidRPr="00BC0FF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Europe</w:t>
      </w:r>
      <w:proofErr w:type="spellEnd"/>
      <w:r w:rsidR="007434E5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)</w:t>
      </w:r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r w:rsidR="00ED132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List </w:t>
      </w:r>
      <w:proofErr w:type="spellStart"/>
      <w:r w:rsidR="00ED132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of</w:t>
      </w:r>
      <w:proofErr w:type="spellEnd"/>
      <w:r w:rsidR="00ED132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="00ED132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expenditure</w:t>
      </w:r>
      <w:proofErr w:type="spellEnd"/>
      <w:r w:rsidR="00ED132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se předkládá jako </w:t>
      </w:r>
      <w:r w:rsidR="00ED132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originál nebo </w:t>
      </w:r>
      <w:proofErr w:type="spellStart"/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sken</w:t>
      </w:r>
      <w:proofErr w:type="spellEnd"/>
      <w:r w:rsidR="00ED132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ED132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List </w:t>
      </w:r>
      <w:proofErr w:type="spellStart"/>
      <w:r w:rsidR="00ED132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of</w:t>
      </w:r>
      <w:proofErr w:type="spellEnd"/>
      <w:r w:rsidR="00ED132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="00ED132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expenditure</w:t>
      </w:r>
      <w:proofErr w:type="spellEnd"/>
      <w:r w:rsidR="00ED132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obsahuje seznam všech výdajů předkládaných ke kontrole, které byly v daném monitorovacím období uskutečněny. V případě, že partner předkládá </w:t>
      </w:r>
      <w:r w:rsidR="00852AC7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list </w:t>
      </w:r>
      <w:proofErr w:type="spellStart"/>
      <w:r w:rsidR="00852AC7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of</w:t>
      </w:r>
      <w:proofErr w:type="spellEnd"/>
      <w:r w:rsidR="00852AC7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="00852AC7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expenditure</w:t>
      </w:r>
      <w:proofErr w:type="spellEnd"/>
      <w:r w:rsidR="00852AC7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za dvě </w:t>
      </w:r>
      <w:proofErr w:type="spellStart"/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reportovací</w:t>
      </w:r>
      <w:proofErr w:type="spellEnd"/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období, bude </w:t>
      </w:r>
      <w:r w:rsidR="00ED132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list </w:t>
      </w:r>
      <w:proofErr w:type="spellStart"/>
      <w:r w:rsidR="00ED132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of</w:t>
      </w:r>
      <w:proofErr w:type="spellEnd"/>
      <w:r w:rsidR="00ED132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="00ED132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expenditure</w:t>
      </w:r>
      <w:proofErr w:type="spellEnd"/>
      <w:r w:rsidR="00ED132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obsahovat výdaje za obě období.</w:t>
      </w:r>
    </w:p>
    <w:p w:rsidR="00DD6258" w:rsidRPr="00BC0FF0" w:rsidRDefault="00780935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Pro program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Central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je soupiska výdajů/List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of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expenditure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součástí Partner report (příloha č. 9, část C). List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of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expenditure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se předkládá jako </w:t>
      </w:r>
      <w:r w:rsidR="00852AC7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součást Partner report prostřednictvím monitorovacího systému programu - </w:t>
      </w:r>
      <w:proofErr w:type="spellStart"/>
      <w:r w:rsidR="00852AC7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eMS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List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of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expenditure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obsahuje seznam všech výdajů předkládaných ke kontrole, které byly v daném monitorovacím období uskutečněny. V případě, že partner předkládá </w:t>
      </w:r>
      <w:r w:rsidR="00852AC7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list </w:t>
      </w:r>
      <w:proofErr w:type="spellStart"/>
      <w:r w:rsidR="00852AC7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of</w:t>
      </w:r>
      <w:proofErr w:type="spellEnd"/>
      <w:r w:rsidR="00852AC7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="00852AC7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expenditure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za dvě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reportovací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období, bude list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of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expenditure</w:t>
      </w:r>
      <w:proofErr w:type="spellEnd"/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obsahovat výdaje za obě období.  </w:t>
      </w:r>
      <w:r w:rsidRPr="00BC0FF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</w:t>
      </w: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 </w:t>
      </w:r>
      <w:r w:rsidR="00DD6258" w:rsidRPr="00BC0FF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</w:t>
      </w:r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</w:p>
    <w:p w:rsidR="00DD6258" w:rsidRPr="0020456C" w:rsidRDefault="006E04A6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originálů účetních dokladů, včetně podpůrné dokumentace (dle možnosti a druhu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kopie, v relevantních případech i originál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 roztříděné ve složce podle rozpočtových kapitol a opatřených razítkem</w:t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7"/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identifikací projektu. Partner předkládá doklady dle pokynů uvedené v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Příloze</w:t>
      </w:r>
      <w:r w:rsidR="00ED132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A</w:t>
      </w:r>
      <w:r w:rsidR="00DD625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-  Náležitosti dokladování</w:t>
      </w:r>
      <w:r w:rsidR="006270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programové dokumentace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 specifikovány pro jednotlivé druhy výdajů. Z každé kopie dokladu musí být identifikovatelné, že jeho originál byl projektovým partnerem označen názvem programu, číslem a akronymem/názvem projektu, dále pod jakým číslem je originál evidován v účetnictví příjemce a na které středisko (oddělenou účetní evidenci) je zaúčtován</w:t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8"/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Kopie dokladů musí být uspořádány ve složkách (šanonech) tak, aby bylo možné snadno vyjímat jednotlivé doklady. Kopie dokladů musí být číslované v souladu s předloženou Soupiskou výdaj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takto seřazeny a roztříděny dle rozpočtových kapitol. Pokud složka neobsahuje předepsané uspořádání, je pobočka oprávněna vrátit žádost o certifikaci partnerovi.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Výstupní sestavu dokládající zaúčtování účetních dokladů analyticky na projekt (oddělený účetní systém pro projekt, např. na středisko). Jednotlivé doklady uvedené v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identifikovatelné na této sestavě. Postačí odevzdat jednu kopii podepsanou odpovědným pracovníkem. 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předložením výdajů </w:t>
      </w:r>
      <w:r w:rsidR="008235B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ontrolorovi se doporučuje si výdaje nechat předem odsouhlasit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partnerem zejména dle roztřídění na WP u programu CENTRAL, aby nedocházelo k dodatečným požadavkům na opravy certifikace na základě požadavku LP. Opravy již vydaných certifikátů budou prováděny jen na základě stanoviska – písemného požadavku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sekretariátu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(stačí zaslat mailem tzv. „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clarification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request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“).  Pro účely předkládání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výdajů ke kontrole jsou uveřejněny Náležitosti dokladování na webových stránkách </w:t>
      </w:r>
      <w:hyperlink r:id="rId25" w:history="1">
        <w:r w:rsidRPr="00D7228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www.crr.cz</w:t>
        </w:r>
      </w:hyperlink>
      <w:r w:rsidR="008F2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nebo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Příloze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„Náležitosti dokladování“, které jsou podkladem pro vyhotovení Soupisky výdajů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doložení způsobilosti výdajů. Českým partnerům se doporučuje při prvním zpracování Finanční Soupisky výdajů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kontaktovat/navštívit místně příslušného Kontrolora za účelem ověření dod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ržení postupů uvedených v Náležitostech dokladování a řádného vyplnění Soupisky výdajů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Čestné prohlášení o shodě kopií účetních dokladů a podpůrné dokumentace s originály těchto dokumentů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došlo ke změně některých podstatných skutečností, např. změna z neplátce na plátce DPH a naopak - doklad o novém stavu. V případě překročení rozpočtu, rozpočtových kapitol - souhlas LP se změnou rozpočtu, apod.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předkládání výdajů ke kontrole se partner řídí Pokyny vč. příloh, které byly platné poslední pracovní den měsíce předcházejícímu tomu, ve kterém zpracují (podepíší) 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oupisku výdajů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20456C" w:rsidRDefault="00DD6258" w:rsidP="002045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6.C.</w:t>
      </w:r>
      <w:proofErr w:type="gramEnd"/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Postup</w:t>
      </w:r>
    </w:p>
    <w:p w:rsidR="00DD6258" w:rsidRPr="0020456C" w:rsidRDefault="00DD6258" w:rsidP="002045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557E04" w:rsidRDefault="00557E04" w:rsidP="00557E04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Zašlete či přivezte všechny potřebné podklady k provedení kontroly (viz výše, včetně dokumentů uvedených v Náležitostech dokladování – 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říloha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těchto Pokynů). 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Kontakty naleznete na webových stránkách </w:t>
      </w:r>
      <w:hyperlink r:id="rId26" w:history="1">
        <w:r w:rsidR="00DD6258" w:rsidRPr="00557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www.crr.cz</w:t>
        </w:r>
      </w:hyperlink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 v Příloze č. 3 těchto Pokynů. Partne</w:t>
      </w:r>
      <w:r w:rsidR="007B350F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ři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31D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 předložit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podklady ke kontrole </w:t>
      </w:r>
      <w:r w:rsidR="00DD6258" w:rsidRPr="005324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nejpozději 15 dní po skončení každého </w:t>
      </w:r>
      <w:proofErr w:type="spellStart"/>
      <w:r w:rsidR="00DD6258" w:rsidRPr="005324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reportovacího</w:t>
      </w:r>
      <w:proofErr w:type="spellEnd"/>
      <w:r w:rsidR="00DD6258" w:rsidRPr="005324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tak aby LP mohl předložit podklady za celý projekt společnému sekretariátu/řídícímu orgánu do 3 měsíců od konce </w:t>
      </w:r>
      <w:proofErr w:type="spellStart"/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nepředložení všech podkladů a dokumentů ke kontrole ze strany příjemců do 15 dní od konce </w:t>
      </w:r>
      <w:proofErr w:type="spellStart"/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neručí Centrum, že bude kontrola ukončena do 3 měsíců od konce </w:t>
      </w:r>
      <w:proofErr w:type="spellStart"/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3820AB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Dodržení lhůty z velké části závisí</w:t>
      </w:r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3820AB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kompletnosti a kvalitě předložených dokumentů ze strany partnerů. V případě, kdy předložené dokumenty vykazují řadu nedostatků</w:t>
      </w:r>
      <w:r w:rsidR="0070073E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nemůže Centrum/Kontrolor zaručit, že výdaje budou </w:t>
      </w:r>
      <w:proofErr w:type="spellStart"/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odkontrolovány</w:t>
      </w:r>
      <w:proofErr w:type="spellEnd"/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 měsíců od konce </w:t>
      </w:r>
      <w:proofErr w:type="spellStart"/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</w:t>
      </w:r>
      <w:r w:rsidR="003820AB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E8C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zajištění včasného potvrzení výdajů ze strany Kontrolorů je nezbytné, aby příjemci předkládali dokumentaci kompletní a včas. </w:t>
      </w:r>
      <w:r w:rsidR="003820AB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Pr="0020456C" w:rsidRDefault="00DD6258" w:rsidP="0020456C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Kontrolora výdajů musí být provedena </w:t>
      </w:r>
      <w:r w:rsidR="0073350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ontrolorem maximálně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60 dní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jejich kompletního předložení partnerem.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předložení výdajů ke kontrole provede </w:t>
      </w:r>
      <w:r w:rsidR="006C31D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 nejdříve kontrolu kompletnosti podkladů do 5 </w:t>
      </w:r>
      <w:r w:rsidR="00F657C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pracovních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dní od jejich obdržení. V případě, že podklady nejsou kompletní, vyzve </w:t>
      </w:r>
      <w:r w:rsidR="006C31D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ontrolor partnera k doložení chybějících dokumentů a lhůta pro kontrolu začíná běžet až v okamžiku, kdy je dokumentace úplná.  Pokud nastanou při kontrole nejasnosti</w:t>
      </w:r>
      <w:r w:rsidR="00DC301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které není možné některé výdaje schválit jako způsobilé, požádá kontrolor partnera o doplnění/vysvětlení ve lhůtě 5 </w:t>
      </w:r>
      <w:r w:rsidR="00F657C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</w:t>
      </w:r>
      <w:r w:rsidR="00DC301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 Pokud v této lhůtě</w:t>
      </w:r>
      <w:r w:rsidR="00400EA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nedostatek neodstr</w:t>
      </w:r>
      <w:r w:rsidR="0074125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aní, vyzve jej Kontrolor opakovaně</w:t>
      </w:r>
      <w:r w:rsidR="00400EA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doplnění/vysvětlení, a to ve lhůtě 5 </w:t>
      </w:r>
      <w:r w:rsidR="00F657C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</w:t>
      </w:r>
      <w:r w:rsidR="00400EA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 Pokud </w:t>
      </w:r>
      <w:r w:rsidR="00F00FF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ani v tomto případě není nedostatek odstraněn, je výdaj odložen.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Kontrolor</w:t>
      </w:r>
      <w:r w:rsidR="00F00FF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vyst</w:t>
      </w:r>
      <w:r w:rsidR="003B36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00FF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ví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Certifikát pouze na výdaje, u kterých nedostatky nejsou, pokud je možné na jejich základě Certifikát výdajů vystavit.</w:t>
      </w:r>
      <w:r w:rsidR="00016FD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0FFA" w:rsidRPr="0020456C" w:rsidRDefault="006B6B4B" w:rsidP="0020456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byl výdaj odložen, má partner možnost uplatnit takový výdaj v následujícím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857F1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tomto případě má partner povinnost přepočítat</w:t>
      </w:r>
      <w:r w:rsidR="003A2E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</w:t>
      </w:r>
      <w:r w:rsidR="00857F1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kurzem </w:t>
      </w:r>
      <w:r w:rsidR="00857F1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aktuální 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57F1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oupisky/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857F1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(tedy ne původním kurzem, ale kurzem z aktuálního období)</w:t>
      </w:r>
      <w:r w:rsidR="003A2E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v následující 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oupisce/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výdaj doložen správně, nebude partner vyzýván k nápravě a výdaj bude označen za nezpůsobilý.</w:t>
      </w:r>
    </w:p>
    <w:p w:rsidR="00DD6258" w:rsidRPr="0020456C" w:rsidRDefault="00DD6258" w:rsidP="00D7228E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provedení kontroly bude projektovému partnerovi příslušnou </w:t>
      </w:r>
      <w:r w:rsidR="006B0E3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pobočkou Centra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zaslán  </w:t>
      </w:r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originál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formulář</w:t>
      </w:r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Certifikátu dle příslušné programové dokumentace (např.</w:t>
      </w:r>
      <w:r w:rsidR="00F657C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IE „Independent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level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certificate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„Independent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level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report“ včetně kontrolního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checklistu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Report“, „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-list“ a „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Certificate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“) a včetně schválené průběžné zprávy/</w:t>
      </w:r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report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sestavené Rekapitulace rozpočtu</w:t>
      </w:r>
      <w:r w:rsidR="00286C9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D7228E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českých partnerů se kontrola výdajů bude skládat ze dvou fází kontroly. </w:t>
      </w:r>
      <w:r w:rsidRPr="002045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první fázi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 bude posuzována věcná a formální správnost, dodržení </w:t>
      </w:r>
      <w:r w:rsidR="00704F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 programu</w:t>
      </w:r>
      <w:r w:rsidR="00A34AF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 EU</w:t>
      </w:r>
      <w:r w:rsidR="00A34AF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národní legislativy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Tato kontrola bude provedena u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100%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výdajů na 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Soupisce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výdajů/</w:t>
      </w:r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0875B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tzn., půjde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kontrolu způsobilosti výdajů ve vztahu k pravidlům způsobilosti definovaným pro Program a ve vztahu k projektu, včetně předepsaných náležitostí dokladování uveřejněných na </w:t>
      </w:r>
      <w:hyperlink r:id="rId27" w:history="1">
        <w:r w:rsidRPr="00D7228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www.crr.cz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D7228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Druhá fáze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kontroly, která bude probíhat již na vybraném vzorku výdajů (tzv. namátková kontrola), bude zaměřena n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 dodržování národní legislativy (zejm. účetní, daňové, mzdové a smluvní legislativy), za kterou je zodpovědný partner jako účetní jednotka. V případě, že v rámci této kontroly dojde při první kontrole Soupisky výdajů</w:t>
      </w:r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dané období ke zjištění chybovosti v dodržování národní legislativy u určitých typů výdajů, bude český partner na toto upozorněn a vyzván k nápravným opatřením. Po vypořádání nápravných opatření může být výdaj uznán za způsobilý. V případě, že při druhé kontrole znovu předložené Soupisky výdajů</w:t>
      </w:r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Kontrolor přesvědčen o provedení nápravy partnerem, bude daný druh výdaje považován za nezpůsobilý</w:t>
      </w:r>
      <w:r w:rsidR="007611F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D7228E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20456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případě, že nebyla provedena dokladová kontrola v rámci 2.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kontroly, může se Kontrolor rozhodnout provést kontrolu výdajů formou kontroly na místě. Kontrola bude provedena na originální složce projektu vlastněné příslušným LP/PP předložené ke kontrole. V rámci dokladové kontroly na místě se též provádí namátkové ověření, zda identifikace projektu na kopiích dokladů souhlasí s originály v účetnictví partnera. </w:t>
      </w:r>
      <w:r w:rsidR="00C83F6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Partner má povinnost zajistit </w:t>
      </w:r>
      <w:r w:rsidR="00844C6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přístupnost všech originálů dokumentů (nejen účetních) spojených s projektem pro kontrolu na místě. </w:t>
      </w:r>
    </w:p>
    <w:p w:rsidR="00DD6258" w:rsidRPr="0020456C" w:rsidRDefault="006762F9" w:rsidP="0020456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Povinností všech partnerů je poskytnout součinnost při prováděné kontrole na místě.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ověřování na místě je ověření, zda výrobky, služby nebo díla byly skutečně dodány, které deklaruje projektový partner ve Finanční zprávě</w:t>
      </w:r>
      <w:r w:rsidR="00541A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3D3CE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541A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právě o průběhu projektu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  O provedení kontroly na místě bude příjemce informován vždy minimálně 48 hodin předem. Kontrola na místě se provádí v průběhu realizace projektu. Nejdříve však po předložení prvních výdajů ke kontrole a nejpozději do data</w:t>
      </w:r>
      <w:r w:rsidR="00541A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ukončení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poslední certifikace. Vzorek projektů je vybrán na základě analýzy rizik, která je navržena Kontrolory daného členského státu.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A05E4" w:rsidRDefault="00DD6258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kontroly 1. stupně jsou všechny výdaje deklarované projektovým partnerem vynaložené na realizaci projektu schváleného v rámci příslušného programu</w:t>
      </w:r>
      <w:r w:rsidR="00984FC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s výjimkou</w:t>
      </w:r>
      <w:r w:rsidR="00D015D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FC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výdajů </w:t>
      </w:r>
      <w:r w:rsidR="00D015D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vykazovaných paušální sazbou, kde se </w:t>
      </w:r>
      <w:r w:rsidR="00984FC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kontroluje pouze</w:t>
      </w:r>
      <w:r w:rsidR="00D015D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správnost</w:t>
      </w:r>
      <w:r w:rsidR="00223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125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zvoleného výpočtu</w:t>
      </w:r>
      <w:r w:rsidR="000875B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paušální sazby</w:t>
      </w:r>
      <w:r w:rsidR="00D6125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Pr="005A05E4" w:rsidRDefault="00D015DC" w:rsidP="005324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FCF" w:rsidRPr="005A0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195E" w:rsidRPr="005A0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5A0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5A05E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D6258" w:rsidRPr="0020456C" w:rsidRDefault="00DD6258" w:rsidP="005324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D6258" w:rsidRPr="0020456C" w:rsidRDefault="00DD6258" w:rsidP="0053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31D4" w:rsidRDefault="005A05E4" w:rsidP="00532416">
      <w:pPr>
        <w:rPr>
          <w:sz w:val="24"/>
          <w:szCs w:val="20"/>
          <w:lang w:eastAsia="cs-CZ"/>
        </w:rPr>
      </w:pPr>
      <w:bookmarkStart w:id="37" w:name="_Toc221601315"/>
      <w:bookmarkStart w:id="38" w:name="_Toc221601316"/>
      <w:bookmarkStart w:id="39" w:name="_Toc221601317"/>
      <w:bookmarkStart w:id="40" w:name="_Toc221601318"/>
      <w:bookmarkStart w:id="41" w:name="_Toc445447287"/>
      <w:bookmarkEnd w:id="37"/>
      <w:bookmarkEnd w:id="38"/>
      <w:bookmarkEnd w:id="39"/>
      <w:bookmarkEnd w:id="40"/>
      <w:r w:rsidRPr="005A05E4">
        <w:rPr>
          <w:rFonts w:ascii="Times New Roman" w:hAnsi="Times New Roman"/>
          <w:b/>
          <w:sz w:val="32"/>
          <w:szCs w:val="32"/>
          <w:lang w:val="pl-PL" w:eastAsia="cs-CZ"/>
        </w:rPr>
        <w:lastRenderedPageBreak/>
        <w:t>7.</w:t>
      </w:r>
      <w:r>
        <w:rPr>
          <w:rFonts w:ascii="Times New Roman" w:hAnsi="Times New Roman"/>
          <w:b/>
          <w:sz w:val="32"/>
          <w:szCs w:val="32"/>
          <w:lang w:val="pl-PL" w:eastAsia="cs-CZ"/>
        </w:rPr>
        <w:t xml:space="preserve"> </w:t>
      </w:r>
      <w:r w:rsidR="00DD6258" w:rsidRPr="00532416">
        <w:rPr>
          <w:rFonts w:ascii="Times New Roman" w:hAnsi="Times New Roman"/>
          <w:b/>
          <w:sz w:val="32"/>
          <w:szCs w:val="32"/>
          <w:lang w:val="pl-PL" w:eastAsia="cs-CZ"/>
        </w:rPr>
        <w:t>Účetnictví a povinnost archivace účetních dokladů</w:t>
      </w:r>
      <w:bookmarkEnd w:id="41"/>
    </w:p>
    <w:p w:rsidR="00EB31D4" w:rsidRPr="00863480" w:rsidRDefault="00EB31D4" w:rsidP="00863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B31D4" w:rsidRDefault="00DD6258" w:rsidP="0053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34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Projektoví partneři vedou účetnictví v souladu s národní legislativou upravující účetnictví. V případě českých partnerů v souladu </w:t>
      </w:r>
      <w:r w:rsidRPr="00D11BB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zákonem č. 563/1991 Sb., o účetnictví ve znění pozdějších předpisů v platném znění. </w:t>
      </w:r>
    </w:p>
    <w:p w:rsidR="00EB31D4" w:rsidRPr="00863480" w:rsidRDefault="00EB31D4" w:rsidP="0053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258" w:rsidRPr="0020456C" w:rsidRDefault="00DD6258" w:rsidP="0053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Veškeré účetnictví spojené s realizací projektu musí být (nejpozději od data registrace projektu) v účetnictví každého českého partnera vedeno odděleně od ostatního účetnictví (tj. je nutné vést pro projekt oddělenou analytickou evidenci). Kopie účetních dokladů týkajících se projektu musí být vedeny v samostatné složce</w:t>
      </w:r>
      <w:r w:rsidRPr="00D7228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footnoteReference w:id="29"/>
      </w:r>
      <w:r w:rsidRPr="00D722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Každý partner je povinen z účetnictví poskytnout všem kontrolním orgánům požadované údaje související 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s projektem, a to nejpozději od data registrace projektu.</w:t>
      </w:r>
    </w:p>
    <w:p w:rsidR="00DD6258" w:rsidRPr="0020456C" w:rsidRDefault="00DD6258" w:rsidP="0020456C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případě, že některý český partner není povinen vést účetnictví, povede pro projekt v souladu s národní legislativou tzv. daňovou evidenci rozšířenou tak, aby:</w:t>
      </w:r>
    </w:p>
    <w:p w:rsidR="00DD6258" w:rsidRPr="00532416" w:rsidRDefault="00DD6258" w:rsidP="00532416">
      <w:pPr>
        <w:pStyle w:val="Odstavecseseznamem"/>
        <w:numPr>
          <w:ilvl w:val="0"/>
          <w:numId w:val="34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32416">
        <w:rPr>
          <w:rFonts w:ascii="Times New Roman" w:hAnsi="Times New Roman"/>
          <w:sz w:val="24"/>
          <w:szCs w:val="24"/>
          <w:lang w:eastAsia="cs-CZ"/>
        </w:rPr>
        <w:t>veškeré příslušné doklady vztahující se k projektu splňovaly náležitosti účetního dokladu ve smyslu národní legislativy upravující účetnictví;</w:t>
      </w:r>
    </w:p>
    <w:p w:rsidR="00DD6258" w:rsidRPr="00532416" w:rsidRDefault="00DD6258" w:rsidP="00532416">
      <w:pPr>
        <w:pStyle w:val="Odstavecseseznamem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32416">
        <w:rPr>
          <w:rFonts w:ascii="Times New Roman" w:hAnsi="Times New Roman"/>
          <w:sz w:val="24"/>
          <w:szCs w:val="24"/>
          <w:lang w:eastAsia="cs-CZ"/>
        </w:rPr>
        <w:t>předmětné doklady byly správné, úplné, průkazné, srozumitelné, vedené v písemné formě chronologicky a způsobem zajišťujícím trvanlivost údajů;</w:t>
      </w:r>
    </w:p>
    <w:p w:rsidR="00DD6258" w:rsidRPr="00532416" w:rsidRDefault="00DD6258" w:rsidP="00532416">
      <w:pPr>
        <w:pStyle w:val="Odstavecseseznamem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32416">
        <w:rPr>
          <w:rFonts w:ascii="Times New Roman" w:hAnsi="Times New Roman"/>
          <w:sz w:val="24"/>
          <w:szCs w:val="24"/>
          <w:lang w:eastAsia="cs-CZ"/>
        </w:rPr>
        <w:t>uskutečněné příjmy a výdaje byly vedeny analyticky ve vztahu k příslušnému projektu, ke kterému se vážou, tzn., že na dokladech musí být jednoznačně uvedeno, ke kterému projektu se vztahují.</w:t>
      </w:r>
    </w:p>
    <w:p w:rsidR="00DD6258" w:rsidRPr="0020456C" w:rsidRDefault="00DD6258" w:rsidP="0020456C">
      <w:pPr>
        <w:spacing w:before="120"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Partneři jsou povinni uschovat (archivovat) originální doklady, tzn. všechny účetní doklady, doklady o zaplacení a všechny ostatní podklady a smlouvy související s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dotací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ubsidy</w:t>
      </w:r>
      <w:proofErr w:type="spellEnd"/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ontract</w:t>
      </w:r>
      <w:proofErr w:type="spellEnd"/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artnership</w:t>
      </w:r>
      <w:proofErr w:type="spellEnd"/>
      <w:r w:rsidR="00223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greement</w:t>
      </w:r>
      <w:proofErr w:type="spellEnd"/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certifikáty, </w:t>
      </w:r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právy o průběhu projektu…atd.)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po ukončení projektu po minimální dobu, která bude partnerům sdělena v</w:t>
      </w:r>
      <w:r w:rsidR="00DA1C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dopise</w:t>
      </w:r>
      <w:r w:rsidR="00DA1C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řídícího orgánu</w:t>
      </w:r>
      <w:r w:rsidR="005B3CA5">
        <w:rPr>
          <w:rFonts w:ascii="Times New Roman" w:eastAsia="Times New Roman" w:hAnsi="Times New Roman" w:cs="Times New Roman"/>
          <w:sz w:val="24"/>
          <w:szCs w:val="24"/>
          <w:lang w:eastAsia="cs-CZ"/>
        </w:rPr>
        <w:t>/sekretariátu</w:t>
      </w:r>
      <w:r w:rsidR="00DA1C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ŘO</w:t>
      </w:r>
      <w:r w:rsidR="00DA1C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informující o ukončení projektu, pokud z daňových či dalších národních, případně evropských předpisů nevyplývá delší archivační povinnost. Během lhůty pro archivaci dokladů jsou tyto originální doklady uchovávány u partnera. Povinností partnera je zajistit, aby byly originální doklady na výzvu k dispozici.</w:t>
      </w:r>
    </w:p>
    <w:p w:rsidR="00DD6258" w:rsidRPr="0020456C" w:rsidRDefault="00DD6258" w:rsidP="0020456C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Archivace dokumentace a zodpovědnost za její vedení podléhá kontrolám prováděným orgány zapojenými do implementace Programu (např.  ŘO, </w:t>
      </w:r>
      <w:r w:rsidR="00733506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ontrolor dle čl. 23, </w:t>
      </w:r>
      <w:r w:rsidR="00EA4AF8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uditní orgán, </w:t>
      </w:r>
      <w:r w:rsidR="00EA4AF8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c</w:t>
      </w:r>
      <w:r w:rsidR="00DA1C2C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ertifikační orgán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) i dalšími kontrolními orgány (např. EK). Porušení výše uvedených pravidel může mít za následek nevyplacení finančních prostředků, resp. požadavek na vrácení již poskytnutých finančních prostředků.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532416" w:rsidRDefault="00DD6258" w:rsidP="00532416">
      <w:pPr>
        <w:pStyle w:val="Styl1"/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rPr>
          <w:rFonts w:eastAsiaTheme="minorHAnsi" w:cstheme="minorBidi"/>
          <w:lang w:val="pl-PL"/>
        </w:rPr>
      </w:pPr>
      <w:bookmarkStart w:id="42" w:name="_Toc221601320"/>
      <w:bookmarkStart w:id="43" w:name="_Toc221601321"/>
      <w:bookmarkStart w:id="44" w:name="_Toc220322049"/>
      <w:bookmarkStart w:id="45" w:name="_Toc220322516"/>
      <w:bookmarkStart w:id="46" w:name="_Toc220382207"/>
      <w:bookmarkStart w:id="47" w:name="_Toc220322050"/>
      <w:bookmarkStart w:id="48" w:name="_Toc220322517"/>
      <w:bookmarkStart w:id="49" w:name="_Toc220382208"/>
      <w:bookmarkStart w:id="50" w:name="_Toc220322051"/>
      <w:bookmarkStart w:id="51" w:name="_Toc220322518"/>
      <w:bookmarkStart w:id="52" w:name="_Toc220382209"/>
      <w:bookmarkStart w:id="53" w:name="_Toc445447288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532416">
        <w:rPr>
          <w:rFonts w:eastAsiaTheme="minorHAnsi" w:cstheme="minorBidi"/>
          <w:lang w:val="pl-PL"/>
        </w:rPr>
        <w:t>Odvolání se proti výsledku kontroly</w:t>
      </w:r>
      <w:bookmarkEnd w:id="53"/>
    </w:p>
    <w:p w:rsidR="00DD6258" w:rsidRPr="00532416" w:rsidRDefault="00DD6258" w:rsidP="0020456C">
      <w:pPr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32"/>
          <w:lang w:val="pl-PL"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Partner má možnost se proti výsledku kontroly odvolat. Lhůta pro odvolání činí 10 pracovních dní od okamžiku, kdy partner obdrží výsledek kontroly zaslaný Kontrolorem prostřednictvím </w:t>
      </w:r>
      <w:r w:rsidR="001C2B06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m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onitorovacího systému nebo poštou. Čeští partneři podávají odvolání poštou na národního koordinátora programu.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Ministerstvo pro místní rozvoj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Odbor evropské územní spolupráce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Letenská 3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118 15 Praha 1 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54" w:name="_Toc445447289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Odvolání proti každému, jednotlivému rozhodnutí je možné podat pouze jednou, rozhodnutí o odvolání je konečné a nelze se proti němu dále odvolat / podat další námitky.</w:t>
      </w:r>
      <w:bookmarkEnd w:id="54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  <w:bookmarkStart w:id="55" w:name="_Toc445447290"/>
      <w:r w:rsidRPr="0020456C"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  <w:t>Seznam příloh</w:t>
      </w:r>
      <w:bookmarkEnd w:id="55"/>
    </w:p>
    <w:p w:rsidR="00DD6258" w:rsidRPr="0020456C" w:rsidRDefault="00DD6258" w:rsidP="002045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p w:rsidR="00DD6258" w:rsidRPr="0020456C" w:rsidRDefault="00DD6258" w:rsidP="0020456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p w:rsidR="00F46D52" w:rsidRDefault="00F46D52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val="pl-PL" w:eastAsia="cs-CZ"/>
        </w:rPr>
        <w:t>Příloha A    – Náležitosti dokladování</w:t>
      </w: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1 – Metodický pokyn pro oblast zadávání veřejných zakázek</w:t>
      </w: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2 – Přehled maximálních hodinových sazeb</w:t>
      </w: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Příloha č. 3 – Kontakty na kontrolory </w:t>
      </w:r>
    </w:p>
    <w:p w:rsidR="00DD6258" w:rsidRPr="0020456C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4 – Přehled realizovaných a předpokládaných ZŘ</w:t>
      </w:r>
    </w:p>
    <w:p w:rsidR="00A93B6E" w:rsidRPr="0020456C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5 – Detailní rozpočet</w:t>
      </w:r>
    </w:p>
    <w:p w:rsidR="00115A7E" w:rsidRPr="0020456C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</w:t>
      </w:r>
      <w:r w:rsidR="00115A7E"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6 – Přehled zaměstnanců na projektu</w:t>
      </w:r>
      <w:bookmarkStart w:id="56" w:name="_GoBack"/>
      <w:bookmarkEnd w:id="56"/>
    </w:p>
    <w:p w:rsidR="00A93B6E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</w:t>
      </w:r>
      <w:r w:rsidR="00115A7E"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7 – Zpráva o průběhu projektu</w:t>
      </w:r>
    </w:p>
    <w:p w:rsidR="00FA50B9" w:rsidRPr="00BC0FF0" w:rsidRDefault="00FA50B9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pl-PL" w:eastAsia="cs-CZ"/>
        </w:rPr>
      </w:pP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val="pl-PL" w:eastAsia="cs-CZ"/>
        </w:rPr>
        <w:t xml:space="preserve">Příloha č. 8 – </w:t>
      </w:r>
      <w:r w:rsidR="00CF2568"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val="pl-PL" w:eastAsia="cs-CZ"/>
        </w:rPr>
        <w:t xml:space="preserve">Interreg Europe </w:t>
      </w: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val="pl-PL" w:eastAsia="cs-CZ"/>
        </w:rPr>
        <w:t>List of Expenditure/List of Contracts</w:t>
      </w:r>
    </w:p>
    <w:p w:rsidR="008A2FBB" w:rsidRPr="00BC0FF0" w:rsidRDefault="008A2FBB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pl-PL" w:eastAsia="cs-CZ"/>
        </w:rPr>
      </w:pP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val="pl-PL" w:eastAsia="cs-CZ"/>
        </w:rPr>
        <w:t>Příloha č. 9 – Central – Partner report</w:t>
      </w:r>
    </w:p>
    <w:p w:rsidR="0001266F" w:rsidRPr="0020456C" w:rsidRDefault="0001266F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BC0FF0">
        <w:rPr>
          <w:rFonts w:ascii="Times New Roman" w:eastAsia="Times New Roman" w:hAnsi="Times New Roman" w:cs="Times New Roman"/>
          <w:sz w:val="24"/>
          <w:szCs w:val="24"/>
          <w:highlight w:val="yellow"/>
          <w:lang w:val="pl-PL" w:eastAsia="cs-CZ"/>
        </w:rPr>
        <w:t>Příloha č. 10 – Veřejná podpora – de minimis</w:t>
      </w: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  <w:bookmarkStart w:id="57" w:name="_Toc445447291"/>
      <w:r w:rsidRPr="0020456C"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  <w:t>Seznam revizí</w:t>
      </w:r>
      <w:bookmarkEnd w:id="57"/>
    </w:p>
    <w:p w:rsidR="00DD6258" w:rsidRPr="00DD6258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5609"/>
        <w:gridCol w:w="2056"/>
      </w:tblGrid>
      <w:tr w:rsidR="00DD6258" w:rsidRPr="00DD6258" w:rsidTr="00644F4C">
        <w:tc>
          <w:tcPr>
            <w:tcW w:w="1310" w:type="dxa"/>
          </w:tcPr>
          <w:p w:rsidR="00DD6258" w:rsidRPr="00DD6258" w:rsidRDefault="000E1231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Rev. č. </w:t>
            </w:r>
          </w:p>
        </w:tc>
        <w:tc>
          <w:tcPr>
            <w:tcW w:w="5609" w:type="dxa"/>
          </w:tcPr>
          <w:p w:rsidR="00DD6258" w:rsidRPr="00DD6258" w:rsidRDefault="000E1231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Předmět revize</w:t>
            </w:r>
          </w:p>
        </w:tc>
        <w:tc>
          <w:tcPr>
            <w:tcW w:w="2056" w:type="dxa"/>
          </w:tcPr>
          <w:p w:rsidR="00DD6258" w:rsidRPr="00DD6258" w:rsidRDefault="000E1231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Kapitola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DD60C1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</w:t>
            </w:r>
          </w:p>
        </w:tc>
        <w:tc>
          <w:tcPr>
            <w:tcW w:w="5609" w:type="dxa"/>
          </w:tcPr>
          <w:p w:rsidR="00DD6258" w:rsidRPr="00DD6258" w:rsidRDefault="00DD60C1" w:rsidP="0053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Upřesněny časové lhůty u programu Central pro předkládání výdajů ke kontrole</w:t>
            </w:r>
          </w:p>
        </w:tc>
        <w:tc>
          <w:tcPr>
            <w:tcW w:w="2056" w:type="dxa"/>
          </w:tcPr>
          <w:p w:rsidR="00DD6258" w:rsidRPr="00DD6258" w:rsidRDefault="00DD60C1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</w:t>
            </w:r>
          </w:p>
        </w:tc>
      </w:tr>
      <w:tr w:rsidR="00267CA6" w:rsidRPr="00DD6258" w:rsidTr="00644F4C">
        <w:tc>
          <w:tcPr>
            <w:tcW w:w="1310" w:type="dxa"/>
          </w:tcPr>
          <w:p w:rsidR="00267CA6" w:rsidRDefault="002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</w:t>
            </w:r>
          </w:p>
        </w:tc>
        <w:tc>
          <w:tcPr>
            <w:tcW w:w="5609" w:type="dxa"/>
          </w:tcPr>
          <w:p w:rsidR="00267CA6" w:rsidRDefault="0026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U programu Interreg Europe zvýšen finanční limit pro předkládání výdajů ke kontrole z 5000 Eur na 7500 Eur.</w:t>
            </w:r>
          </w:p>
        </w:tc>
        <w:tc>
          <w:tcPr>
            <w:tcW w:w="2056" w:type="dxa"/>
          </w:tcPr>
          <w:p w:rsidR="00267CA6" w:rsidRDefault="002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267CA6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3</w:t>
            </w:r>
          </w:p>
        </w:tc>
        <w:tc>
          <w:tcPr>
            <w:tcW w:w="5609" w:type="dxa"/>
          </w:tcPr>
          <w:p w:rsidR="00DD6258" w:rsidRPr="00DD6258" w:rsidRDefault="00DD60C1" w:rsidP="0053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Doplněn nový zákon o zadávání veřejných zakázek</w:t>
            </w:r>
            <w:r w:rsidR="001508F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(ZVZ)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č. 134/2016 Sb. </w:t>
            </w:r>
          </w:p>
        </w:tc>
        <w:tc>
          <w:tcPr>
            <w:tcW w:w="2056" w:type="dxa"/>
          </w:tcPr>
          <w:p w:rsidR="00DD6258" w:rsidRPr="00DD6258" w:rsidRDefault="00DD60C1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532416" w:rsidRDefault="00267CA6" w:rsidP="00532416">
            <w:pPr>
              <w:pStyle w:val="Odstavecseseznamem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cs-CZ"/>
              </w:rPr>
              <w:t>4</w:t>
            </w:r>
          </w:p>
        </w:tc>
        <w:tc>
          <w:tcPr>
            <w:tcW w:w="5609" w:type="dxa"/>
          </w:tcPr>
          <w:p w:rsidR="00DD6258" w:rsidRPr="00DD6258" w:rsidRDefault="00737365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Veřejné zakázky – úprava textu v souvislosti s novým ZVZ a změna textu k hodnotícím kriteriím</w:t>
            </w:r>
          </w:p>
        </w:tc>
        <w:tc>
          <w:tcPr>
            <w:tcW w:w="2056" w:type="dxa"/>
          </w:tcPr>
          <w:p w:rsidR="00DD6258" w:rsidRPr="00DD6258" w:rsidRDefault="00737365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3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267CA6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5</w:t>
            </w:r>
          </w:p>
        </w:tc>
        <w:tc>
          <w:tcPr>
            <w:tcW w:w="5609" w:type="dxa"/>
          </w:tcPr>
          <w:p w:rsidR="00DD6258" w:rsidRPr="00DD6258" w:rsidRDefault="000E04DE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Mzdové výdaje </w:t>
            </w:r>
            <w:r w:rsidR="00C15D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</w:t>
            </w:r>
            <w:r w:rsidR="00C15D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blíže specifikována nutnost uvést v dokladu o zaměstnání popis činností na projektu i podle WP</w:t>
            </w:r>
            <w:r w:rsidR="000A4C3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. </w:t>
            </w:r>
          </w:p>
        </w:tc>
        <w:tc>
          <w:tcPr>
            <w:tcW w:w="2056" w:type="dxa"/>
          </w:tcPr>
          <w:p w:rsidR="00DD6258" w:rsidRPr="00DD6258" w:rsidRDefault="000A4C3C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267CA6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6</w:t>
            </w:r>
          </w:p>
        </w:tc>
        <w:tc>
          <w:tcPr>
            <w:tcW w:w="5609" w:type="dxa"/>
          </w:tcPr>
          <w:p w:rsidR="00DD6258" w:rsidRPr="00DD6258" w:rsidRDefault="000A4C3C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Mzdové výdaje – v případě, že zaměstnanec pracuje i na jiných projektech nutnost dodat i informace v dokladu o zaměstnání o těchto činnostech na jiných projektech. . </w:t>
            </w:r>
          </w:p>
        </w:tc>
        <w:tc>
          <w:tcPr>
            <w:tcW w:w="2056" w:type="dxa"/>
          </w:tcPr>
          <w:p w:rsidR="00DD6258" w:rsidRPr="00DD6258" w:rsidRDefault="000A4C3C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267CA6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7</w:t>
            </w:r>
          </w:p>
        </w:tc>
        <w:tc>
          <w:tcPr>
            <w:tcW w:w="5609" w:type="dxa"/>
          </w:tcPr>
          <w:p w:rsidR="00DD6258" w:rsidRPr="00DD6258" w:rsidRDefault="00DF5494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Vzor timesheetu a povinné náležitosti, které musí obsahovat</w:t>
            </w:r>
          </w:p>
        </w:tc>
        <w:tc>
          <w:tcPr>
            <w:tcW w:w="2056" w:type="dxa"/>
          </w:tcPr>
          <w:p w:rsidR="00DD6258" w:rsidRPr="00DD6258" w:rsidRDefault="00DF5494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267CA6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8</w:t>
            </w:r>
          </w:p>
        </w:tc>
        <w:tc>
          <w:tcPr>
            <w:tcW w:w="5609" w:type="dxa"/>
          </w:tcPr>
          <w:p w:rsidR="00DD6258" w:rsidRPr="00DD6258" w:rsidRDefault="003F0A4B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U programu IE </w:t>
            </w:r>
            <w:r w:rsidR="006C412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odstraněna možnost využít při neexistenci historie ročních hrubých nákladů, pro metodu 1720 hodin/rok, poměrnou část hrubých nákladů.</w:t>
            </w:r>
          </w:p>
        </w:tc>
        <w:tc>
          <w:tcPr>
            <w:tcW w:w="2056" w:type="dxa"/>
          </w:tcPr>
          <w:p w:rsidR="00DD6258" w:rsidRPr="00DD6258" w:rsidRDefault="00DD6258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DF5494" w:rsidRPr="00DD6258" w:rsidTr="00644F4C">
        <w:tc>
          <w:tcPr>
            <w:tcW w:w="1310" w:type="dxa"/>
          </w:tcPr>
          <w:p w:rsidR="00DF5494" w:rsidRPr="00DD6258" w:rsidRDefault="00267CA6" w:rsidP="0053241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9</w:t>
            </w:r>
          </w:p>
        </w:tc>
        <w:tc>
          <w:tcPr>
            <w:tcW w:w="5609" w:type="dxa"/>
          </w:tcPr>
          <w:p w:rsidR="00DF5494" w:rsidRPr="00DD6258" w:rsidRDefault="00DF5494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Odkaz na nutnost dodat u programu Central u mzdových výdajů za všechny zaměstnance pracujícím na projektu Periodic staff report </w:t>
            </w:r>
          </w:p>
        </w:tc>
        <w:tc>
          <w:tcPr>
            <w:tcW w:w="2056" w:type="dxa"/>
          </w:tcPr>
          <w:p w:rsidR="00DF5494" w:rsidRPr="00DD6258" w:rsidRDefault="00DF5494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267CA6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lastRenderedPageBreak/>
              <w:t>10</w:t>
            </w:r>
          </w:p>
        </w:tc>
        <w:tc>
          <w:tcPr>
            <w:tcW w:w="5609" w:type="dxa"/>
          </w:tcPr>
          <w:p w:rsidR="00DD6258" w:rsidRPr="00DD6258" w:rsidRDefault="00EE47F3" w:rsidP="00EE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Postup k předkládání zpráv – upraven postup předkládání zpráv u programu IE, tak že bude předkládáno mimo systém. Doplněny povinné přílohy pro kontrolu.</w:t>
            </w:r>
          </w:p>
        </w:tc>
        <w:tc>
          <w:tcPr>
            <w:tcW w:w="2056" w:type="dxa"/>
          </w:tcPr>
          <w:p w:rsidR="00DD6258" w:rsidRPr="00DD6258" w:rsidRDefault="00EE47F3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6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EE47F3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</w:t>
            </w:r>
            <w:r w:rsidR="00267CA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</w:t>
            </w:r>
          </w:p>
        </w:tc>
        <w:tc>
          <w:tcPr>
            <w:tcW w:w="5609" w:type="dxa"/>
          </w:tcPr>
          <w:p w:rsidR="00DD6258" w:rsidRPr="00DD6258" w:rsidRDefault="00EE47F3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Postup k předkládání zpráv – upraven postup předkládání zpráv u programu Central prostřednictvím monitorovacího systému eMS. Doplněny povinné přílohy.</w:t>
            </w:r>
          </w:p>
        </w:tc>
        <w:tc>
          <w:tcPr>
            <w:tcW w:w="2056" w:type="dxa"/>
          </w:tcPr>
          <w:p w:rsidR="00DD6258" w:rsidRPr="00DD6258" w:rsidRDefault="00EE47F3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6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FD6FB1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</w:t>
            </w:r>
            <w:r w:rsidR="00267CA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</w:t>
            </w:r>
          </w:p>
        </w:tc>
        <w:tc>
          <w:tcPr>
            <w:tcW w:w="5609" w:type="dxa"/>
          </w:tcPr>
          <w:p w:rsidR="00DD6258" w:rsidRPr="00DD6258" w:rsidRDefault="00FD6FB1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Nová příloha A</w:t>
            </w:r>
            <w:r w:rsidR="00E37AC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– Náležitosti dokladování</w:t>
            </w:r>
          </w:p>
        </w:tc>
        <w:tc>
          <w:tcPr>
            <w:tcW w:w="2056" w:type="dxa"/>
          </w:tcPr>
          <w:p w:rsidR="00DD6258" w:rsidRPr="00DD6258" w:rsidRDefault="001936EF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A</w:t>
            </w:r>
          </w:p>
        </w:tc>
      </w:tr>
      <w:tr w:rsidR="006C4129" w:rsidRPr="00DD6258" w:rsidTr="0053241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29" w:rsidRPr="00DD6258" w:rsidRDefault="00267CA6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29" w:rsidRPr="00DD6258" w:rsidRDefault="00E37ACD" w:rsidP="006E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Nová příloha č. 8 </w:t>
            </w:r>
            <w:r w:rsidR="007D5D9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</w:t>
            </w:r>
            <w:r w:rsidR="007D5D9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Interreg Europe - List of expenditure/List of contracts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29" w:rsidRPr="00DD6258" w:rsidRDefault="001936EF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č. 8</w:t>
            </w:r>
          </w:p>
        </w:tc>
      </w:tr>
      <w:tr w:rsidR="006C4129" w:rsidRPr="00DD6258" w:rsidTr="0053241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29" w:rsidRPr="00DD6258" w:rsidRDefault="00267CA6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29" w:rsidRPr="00DD6258" w:rsidRDefault="007D5D93" w:rsidP="006E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Nová příloha č. 9 – Central – Partner report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29" w:rsidRPr="00DD6258" w:rsidRDefault="001936EF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č. 9</w:t>
            </w:r>
          </w:p>
        </w:tc>
      </w:tr>
      <w:tr w:rsidR="006C4129" w:rsidRPr="00DD6258" w:rsidTr="0053241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29" w:rsidRPr="00DD6258" w:rsidRDefault="00267CA6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29" w:rsidRPr="00DD6258" w:rsidRDefault="001936EF" w:rsidP="006E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Aktualizaci příloh č. 4 – Přehled realizovaných a předpokládáných ZŘ v souvislosti s novým ZVZ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29" w:rsidRPr="00DD6258" w:rsidRDefault="001936EF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č. 4</w:t>
            </w:r>
          </w:p>
        </w:tc>
      </w:tr>
      <w:tr w:rsidR="00E37ACD" w:rsidRPr="00DD6258" w:rsidTr="0053241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CD" w:rsidRPr="00DD6258" w:rsidRDefault="00267CA6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CD" w:rsidRPr="00DD6258" w:rsidRDefault="00B12749" w:rsidP="006E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Nová příloha č. 10 – Veřejná podpora – de minimis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CD" w:rsidRPr="00DD6258" w:rsidRDefault="00B12749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č. 10</w:t>
            </w:r>
          </w:p>
        </w:tc>
      </w:tr>
      <w:tr w:rsidR="00E37ACD" w:rsidRPr="00DD6258" w:rsidTr="0053241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CD" w:rsidRPr="00DD6258" w:rsidRDefault="00A22180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17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CD" w:rsidRPr="00DD6258" w:rsidRDefault="00A22180" w:rsidP="006E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Aktualizace Přílohy č. 3 – Kontakty na kontrolory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CD" w:rsidRPr="00DD6258" w:rsidRDefault="00A22180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č. 3</w:t>
            </w:r>
          </w:p>
        </w:tc>
      </w:tr>
      <w:tr w:rsidR="00E37ACD" w:rsidRPr="00DD6258" w:rsidTr="0053241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CD" w:rsidRPr="00DD6258" w:rsidRDefault="00E37ACD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CD" w:rsidRPr="00DD6258" w:rsidRDefault="00E37ACD" w:rsidP="006E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CD" w:rsidRPr="00DD6258" w:rsidRDefault="00E37ACD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</w:tbl>
    <w:p w:rsidR="00802A64" w:rsidRDefault="00802A64" w:rsidP="0020456C"/>
    <w:sectPr w:rsidR="00802A64" w:rsidSect="00644F4C">
      <w:footerReference w:type="even" r:id="rId28"/>
      <w:footerReference w:type="default" r:id="rId29"/>
      <w:pgSz w:w="11906" w:h="16838"/>
      <w:pgMar w:top="1418" w:right="1418" w:bottom="1418" w:left="10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A1" w:rsidRDefault="004F6DA1" w:rsidP="00DD6258">
      <w:pPr>
        <w:spacing w:after="0" w:line="240" w:lineRule="auto"/>
      </w:pPr>
      <w:r>
        <w:separator/>
      </w:r>
    </w:p>
  </w:endnote>
  <w:endnote w:type="continuationSeparator" w:id="0">
    <w:p w:rsidR="004F6DA1" w:rsidRDefault="004F6DA1" w:rsidP="00DD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A1" w:rsidRDefault="004F6DA1" w:rsidP="00644F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6DA1" w:rsidRDefault="004F6D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A1" w:rsidRDefault="004F6DA1" w:rsidP="00644F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0FF0">
      <w:rPr>
        <w:rStyle w:val="slostrnky"/>
        <w:noProof/>
      </w:rPr>
      <w:t>23</w:t>
    </w:r>
    <w:r>
      <w:rPr>
        <w:rStyle w:val="slostrnky"/>
      </w:rPr>
      <w:fldChar w:fldCharType="end"/>
    </w:r>
  </w:p>
  <w:p w:rsidR="004F6DA1" w:rsidRDefault="004F6D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A1" w:rsidRDefault="004F6DA1" w:rsidP="00DD6258">
      <w:pPr>
        <w:spacing w:after="0" w:line="240" w:lineRule="auto"/>
      </w:pPr>
      <w:r>
        <w:separator/>
      </w:r>
    </w:p>
  </w:footnote>
  <w:footnote w:type="continuationSeparator" w:id="0">
    <w:p w:rsidR="004F6DA1" w:rsidRDefault="004F6DA1" w:rsidP="00DD6258">
      <w:pPr>
        <w:spacing w:after="0" w:line="240" w:lineRule="auto"/>
      </w:pPr>
      <w:r>
        <w:continuationSeparator/>
      </w:r>
    </w:p>
  </w:footnote>
  <w:footnote w:id="1">
    <w:p w:rsidR="004F6DA1" w:rsidRDefault="004F6DA1" w:rsidP="00DD6258">
      <w:pPr>
        <w:pStyle w:val="Textpoznpodarou"/>
        <w:jc w:val="both"/>
      </w:pPr>
      <w:r>
        <w:rPr>
          <w:rFonts w:ascii="Trebuchet MS" w:hAnsi="Trebuchet MS"/>
          <w:sz w:val="18"/>
          <w:szCs w:val="18"/>
          <w:vertAlign w:val="superscript"/>
        </w:rPr>
        <w:footnoteRef/>
      </w:r>
      <w:r>
        <w:rPr>
          <w:rFonts w:ascii="Trebuchet MS" w:hAnsi="Trebuchet MS"/>
          <w:sz w:val="18"/>
          <w:szCs w:val="18"/>
        </w:rPr>
        <w:t>Akt v přenesené pravomoci (nařízení, rozhodnutí) je nelegislativní akt Evropské komise uvádějící zvláštní ustanovení o implementaci nařízení Evropského parlamentu a Rady.</w:t>
      </w:r>
    </w:p>
  </w:footnote>
  <w:footnote w:id="2">
    <w:p w:rsidR="004F6DA1" w:rsidRDefault="004F6DA1" w:rsidP="00DD6258">
      <w:pPr>
        <w:pStyle w:val="Textpoznpodarou"/>
      </w:pPr>
      <w:r>
        <w:rPr>
          <w:rStyle w:val="Znakapoznpodarou"/>
        </w:rPr>
        <w:footnoteRef/>
      </w:r>
      <w:r>
        <w:t xml:space="preserve"> v případě nesouladu mezi národními pravidly způsobilosti a programovou dokumentací se aplikují e přísnější pravidla.</w:t>
      </w:r>
    </w:p>
  </w:footnote>
  <w:footnote w:id="3">
    <w:p w:rsidR="004F6DA1" w:rsidRDefault="004F6DA1" w:rsidP="00DD6258">
      <w:pPr>
        <w:pStyle w:val="Textpoznpodarou"/>
      </w:pPr>
      <w:r>
        <w:rPr>
          <w:rStyle w:val="Znakapoznpodarou"/>
        </w:rPr>
        <w:footnoteRef/>
      </w:r>
      <w:r>
        <w:t xml:space="preserve">  v případě pořízení majetku nebo vybavení je LP/PP povinen prokázat pořízení a způsob užívání (např. prostřednictvím fotodokumentace). U majetku/vybavení přesahující hodnotu 2000 EUR u programu CENTRAL bude provedena kontrola na místě.</w:t>
      </w:r>
    </w:p>
  </w:footnote>
  <w:footnote w:id="4">
    <w:p w:rsidR="004F6DA1" w:rsidRDefault="004F6DA1" w:rsidP="00DD6258">
      <w:pPr>
        <w:pStyle w:val="Textpoznpodarou"/>
      </w:pPr>
      <w:r>
        <w:rPr>
          <w:rStyle w:val="Znakapoznpodarou"/>
        </w:rPr>
        <w:footnoteRef/>
      </w:r>
      <w:r>
        <w:t xml:space="preserve"> Míra 25% spolufinancování platí pro soukromé neziskové subjekty u programu </w:t>
      </w:r>
      <w:proofErr w:type="spellStart"/>
      <w:r>
        <w:t>Interreg</w:t>
      </w:r>
      <w:proofErr w:type="spellEnd"/>
      <w:r>
        <w:t xml:space="preserve"> EUROPE</w:t>
      </w:r>
    </w:p>
  </w:footnote>
  <w:footnote w:id="5">
    <w:p w:rsidR="004F6DA1" w:rsidRDefault="004F6DA1" w:rsidP="0020456C">
      <w:pPr>
        <w:spacing w:after="0" w:line="240" w:lineRule="auto"/>
        <w:jc w:val="both"/>
      </w:pPr>
      <w:r w:rsidRPr="00C3070B">
        <w:rPr>
          <w:rStyle w:val="Znakapoznpodarou"/>
          <w:rFonts w:ascii="Times New Roman" w:hAnsi="Times New Roman"/>
          <w:b/>
          <w:i/>
        </w:rPr>
        <w:footnoteRef/>
      </w:r>
      <w:r w:rsidRPr="00C3070B">
        <w:rPr>
          <w:rStyle w:val="Znakapoznpodarou"/>
          <w:rFonts w:ascii="Times New Roman" w:hAnsi="Times New Roman"/>
          <w:b/>
          <w:i/>
        </w:rPr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 xml:space="preserve">Posouzením zadávacího/výběrového řízení nepřechází odpovědnost za to, že zadávací/výběrové řízení bude zadána správně a v souladu se zásadami, zákony a dalšími předpisy uvedenými výše v kap. </w:t>
      </w:r>
      <w:proofErr w:type="gramStart"/>
      <w:r w:rsidRPr="0020456C">
        <w:rPr>
          <w:rFonts w:ascii="Times New Roman" w:hAnsi="Times New Roman" w:cs="Times New Roman"/>
          <w:sz w:val="20"/>
          <w:szCs w:val="20"/>
        </w:rPr>
        <w:t>3.1. na</w:t>
      </w:r>
      <w:proofErr w:type="gramEnd"/>
      <w:r w:rsidRPr="0020456C">
        <w:rPr>
          <w:rFonts w:ascii="Times New Roman" w:hAnsi="Times New Roman" w:cs="Times New Roman"/>
          <w:sz w:val="20"/>
          <w:szCs w:val="20"/>
        </w:rPr>
        <w:t xml:space="preserve"> Kontrolora. Tuto odpovědnost nese vždy zadavatel veřejné zakázky.</w:t>
      </w:r>
      <w:r>
        <w:rPr>
          <w:sz w:val="20"/>
          <w:szCs w:val="20"/>
        </w:rPr>
        <w:t xml:space="preserve"> </w:t>
      </w:r>
    </w:p>
  </w:footnote>
  <w:footnote w:id="6">
    <w:p w:rsidR="004F6DA1" w:rsidRPr="00E2565B" w:rsidRDefault="004F6DA1" w:rsidP="00500EBC">
      <w:pPr>
        <w:pStyle w:val="Textpoznpodarou"/>
      </w:pPr>
      <w:r>
        <w:rPr>
          <w:rStyle w:val="Znakapoznpodarou"/>
        </w:rPr>
        <w:footnoteRef/>
      </w:r>
      <w:r w:rsidRPr="00E2565B">
        <w:t xml:space="preserve"> </w:t>
      </w:r>
      <w:r>
        <w:t xml:space="preserve">V případě zakázek vyhlášených do </w:t>
      </w:r>
      <w:proofErr w:type="gramStart"/>
      <w:r>
        <w:t>30.09.2016</w:t>
      </w:r>
      <w:proofErr w:type="gramEnd"/>
      <w:r>
        <w:t xml:space="preserve"> včetně.</w:t>
      </w:r>
    </w:p>
  </w:footnote>
  <w:footnote w:id="7">
    <w:p w:rsidR="004F6DA1" w:rsidRPr="00E2565B" w:rsidRDefault="004F6DA1" w:rsidP="00500EBC">
      <w:pPr>
        <w:pStyle w:val="Textpoznpodarou"/>
      </w:pPr>
      <w:r>
        <w:rPr>
          <w:rStyle w:val="Znakapoznpodarou"/>
        </w:rPr>
        <w:footnoteRef/>
      </w:r>
      <w:r w:rsidRPr="00E2565B">
        <w:t xml:space="preserve"> </w:t>
      </w:r>
      <w:r>
        <w:t xml:space="preserve">V případě zakázek vyhlášených od </w:t>
      </w:r>
      <w:proofErr w:type="gramStart"/>
      <w:r>
        <w:t>01.10.2016</w:t>
      </w:r>
      <w:proofErr w:type="gramEnd"/>
      <w:r>
        <w:t>.</w:t>
      </w:r>
    </w:p>
  </w:footnote>
  <w:footnote w:id="8">
    <w:p w:rsidR="004F6DA1" w:rsidRPr="00FA43EE" w:rsidRDefault="004F6DA1" w:rsidP="00500EBC">
      <w:pPr>
        <w:pStyle w:val="Textpoznpodarou"/>
      </w:pPr>
      <w:r>
        <w:rPr>
          <w:rStyle w:val="Znakapoznpodarou"/>
        </w:rPr>
        <w:footnoteRef/>
      </w:r>
      <w:r w:rsidRPr="00FA43EE">
        <w:t xml:space="preserve"> Kalkulace předpokládané hodnoty veřejné zakázky musí obsahovat rozsah plnění, která jsou předmětem veřejné zakázky a jednotkové ceny. V případě, že je veřejná zakázka složena z více dílčích plnění, musí být kalkulace v této podobě provedena za každé dílčí plnění. Zdůvodnění kalkulace musí být podloženo buď informacemi o zakázkách stejného</w:t>
      </w:r>
      <w:r>
        <w:t xml:space="preserve"> či podobného předmětu plnění (</w:t>
      </w:r>
      <w:r w:rsidRPr="00FA43EE">
        <w:t>partner může vycházet např. z vlastních zkušeností se zadáním stejné či podobné veřejné zakázky v minulosti nebo z jiných dostupných údajů a informací – např. veřejně přístupné údaje na internetu nebo v odborných publikacích) nebo průzkumem trhu s požadovaným plněním.</w:t>
      </w:r>
    </w:p>
  </w:footnote>
  <w:footnote w:id="9">
    <w:p w:rsidR="004F6DA1" w:rsidRPr="00FA43EE" w:rsidRDefault="004F6DA1" w:rsidP="00500EBC">
      <w:pPr>
        <w:pStyle w:val="Textpoznpodarou"/>
      </w:pPr>
      <w:r>
        <w:rPr>
          <w:rStyle w:val="Znakapoznpodarou"/>
        </w:rPr>
        <w:footnoteRef/>
      </w:r>
      <w:r w:rsidRPr="00FA43EE">
        <w:t xml:space="preserve"> </w:t>
      </w:r>
      <w:r>
        <w:t>P</w:t>
      </w:r>
      <w:r w:rsidRPr="00FA43EE">
        <w:t>artner v rámci zadávací dokumentace mimo jiné stanoví (a) fakturační podmínky tak, aby byla jednoznačně patrná souvislost jednotlivých faktur s</w:t>
      </w:r>
      <w:r>
        <w:t> </w:t>
      </w:r>
      <w:r w:rsidRPr="00FA43EE">
        <w:t>projektem</w:t>
      </w:r>
      <w:r>
        <w:t xml:space="preserve">, a to </w:t>
      </w:r>
      <w:r w:rsidRPr="001864E6">
        <w:t>označení</w:t>
      </w:r>
      <w:r>
        <w:t>m</w:t>
      </w:r>
      <w:r w:rsidRPr="001864E6">
        <w:t xml:space="preserve"> účetního dokladu pomocí čísla a názvu projektu </w:t>
      </w:r>
      <w:r w:rsidRPr="00FA43EE">
        <w:t>a (b) v případě, kdy Partner nezajistí adekvátní publicitu vlastními silami i povinnost vybraného dodavatele zajistit projektu dostatečnou publicitu dle náležitostí uvedených v</w:t>
      </w:r>
      <w:r>
        <w:t> kapitole 5,</w:t>
      </w:r>
      <w:r w:rsidRPr="00FA43EE">
        <w:t xml:space="preserve"> veřejnost vhodným způsobem o tom, že projekt je spolufinancován z prostředků EU.</w:t>
      </w:r>
    </w:p>
  </w:footnote>
  <w:footnote w:id="10">
    <w:p w:rsidR="004F6DA1" w:rsidRDefault="004F6DA1" w:rsidP="00DD6258">
      <w:pPr>
        <w:pStyle w:val="Textpoznpodarou"/>
      </w:pPr>
      <w:r>
        <w:rPr>
          <w:rStyle w:val="Znakapoznpodarou"/>
        </w:rPr>
        <w:footnoteRef/>
      </w:r>
      <w:r>
        <w:t xml:space="preserve"> Pouze pro program CENTRAL a DANUBE</w:t>
      </w:r>
    </w:p>
  </w:footnote>
  <w:footnote w:id="11">
    <w:p w:rsidR="004F6DA1" w:rsidRDefault="004F6DA1" w:rsidP="00DD6258">
      <w:pPr>
        <w:pStyle w:val="Textpoznpodarou"/>
      </w:pPr>
      <w:r>
        <w:rPr>
          <w:rStyle w:val="Znakapoznpodarou"/>
        </w:rPr>
        <w:footnoteRef/>
      </w:r>
      <w:r>
        <w:t xml:space="preserve"> Využití paušální sazby u osobních nákladů je možné pouze u programu CENTRAL a DANUBE.</w:t>
      </w:r>
    </w:p>
  </w:footnote>
  <w:footnote w:id="12">
    <w:p w:rsidR="004F6DA1" w:rsidRDefault="004F6DA1" w:rsidP="00DD6258">
      <w:pPr>
        <w:pStyle w:val="Textpoznpodarou"/>
      </w:pPr>
      <w:r>
        <w:rPr>
          <w:rStyle w:val="Znakapoznpodarou"/>
        </w:rPr>
        <w:footnoteRef/>
      </w:r>
      <w:r>
        <w:t xml:space="preserve"> Využití paušální sazby u osobních nákladů je možné pouze u programu CENTRAL a DANUBE</w:t>
      </w:r>
    </w:p>
  </w:footnote>
  <w:footnote w:id="13">
    <w:p w:rsidR="004F6DA1" w:rsidRDefault="004F6DA1">
      <w:pPr>
        <w:pStyle w:val="Textpoznpodarou"/>
      </w:pPr>
      <w:r>
        <w:rPr>
          <w:rStyle w:val="Znakapoznpodarou"/>
        </w:rPr>
        <w:footnoteRef/>
      </w:r>
      <w:r>
        <w:t xml:space="preserve"> Specifikace činností podle WP platí pro program CENTRAL.</w:t>
      </w:r>
    </w:p>
  </w:footnote>
  <w:footnote w:id="14">
    <w:p w:rsidR="004F6DA1" w:rsidRDefault="004F6DA1" w:rsidP="006405D4">
      <w:pPr>
        <w:pStyle w:val="Textpoznpodarou"/>
      </w:pPr>
      <w:r>
        <w:rPr>
          <w:rStyle w:val="Znakapoznpodarou"/>
        </w:rPr>
        <w:footnoteRef/>
      </w:r>
      <w:r>
        <w:t xml:space="preserve"> Specifikace činností podle WP platí pro program CENTRAL.</w:t>
      </w:r>
    </w:p>
  </w:footnote>
  <w:footnote w:id="15">
    <w:p w:rsidR="004F6DA1" w:rsidRDefault="004F6DA1">
      <w:pPr>
        <w:pStyle w:val="Textpoznpodarou"/>
      </w:pPr>
      <w:r>
        <w:rPr>
          <w:rStyle w:val="Znakapoznpodarou"/>
        </w:rPr>
        <w:footnoteRef/>
      </w:r>
      <w:r>
        <w:t xml:space="preserve"> Platí pro program CENTRAL</w:t>
      </w:r>
    </w:p>
  </w:footnote>
  <w:footnote w:id="16">
    <w:p w:rsidR="004F6DA1" w:rsidRDefault="004F6D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456C">
        <w:rPr>
          <w:b/>
        </w:rPr>
        <w:t xml:space="preserve">Tuto metodu nelze využít u programu </w:t>
      </w:r>
      <w:r>
        <w:rPr>
          <w:b/>
        </w:rPr>
        <w:t>CENTRAL</w:t>
      </w:r>
    </w:p>
  </w:footnote>
  <w:footnote w:id="17">
    <w:p w:rsidR="004F6DA1" w:rsidRDefault="004F6DA1">
      <w:pPr>
        <w:pStyle w:val="Textpoznpodarou"/>
      </w:pPr>
      <w:r>
        <w:rPr>
          <w:rStyle w:val="Znakapoznpodarou"/>
        </w:rPr>
        <w:footnoteRef/>
      </w:r>
      <w:r>
        <w:t xml:space="preserve"> U programu CENTRAL je možné použít v případě částečného úvazku s pružným počtem odpracovaných hodin za měsíc pouze metodu s 1720 hodinami.</w:t>
      </w:r>
    </w:p>
  </w:footnote>
  <w:footnote w:id="18">
    <w:p w:rsidR="004F6DA1" w:rsidRPr="0020456C" w:rsidRDefault="004F6DA1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/>
      </w:r>
      <w:r w:rsidRPr="0020456C">
        <w:rPr>
          <w:rFonts w:ascii="Times New Roman" w:hAnsi="Times New Roman" w:cs="Times New Roman"/>
        </w:rPr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>Pod tímto pojmem je myšlena povinnost používat na veškerých informačních a propagačních opatřeních spolu se symbolem EU (tzn. s vlajkou) také dvojslovný výraz "Evropská unie" (zkratka „EU“ není postačující). Tudíž všude, včetně malých propagačních předmětů, musí být uveden symbol EU (vlajka) spolu se slovy „Evropská unie“.</w:t>
      </w:r>
    </w:p>
  </w:footnote>
  <w:footnote w:id="19">
    <w:p w:rsidR="004F6DA1" w:rsidRPr="0020456C" w:rsidRDefault="004F6DA1" w:rsidP="0020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56C">
        <w:rPr>
          <w:rFonts w:ascii="Times New Roman" w:hAnsi="Times New Roman" w:cs="Times New Roman"/>
          <w:sz w:val="20"/>
          <w:szCs w:val="20"/>
        </w:rPr>
        <w:footnoteRef/>
      </w:r>
      <w:r w:rsidRPr="0020456C">
        <w:rPr>
          <w:rFonts w:ascii="Times New Roman" w:hAnsi="Times New Roman" w:cs="Times New Roman"/>
          <w:sz w:val="20"/>
          <w:szCs w:val="20"/>
        </w:rPr>
        <w:t xml:space="preserve"> </w:t>
      </w:r>
      <w:r w:rsidRPr="0020456C">
        <w:rPr>
          <w:rFonts w:ascii="Times New Roman" w:hAnsi="Times New Roman" w:cs="Times New Roman"/>
          <w:b/>
          <w:sz w:val="20"/>
          <w:szCs w:val="20"/>
        </w:rPr>
        <w:t>U programu DANUBE</w:t>
      </w:r>
      <w:r w:rsidRPr="0020456C">
        <w:rPr>
          <w:rFonts w:ascii="Times New Roman" w:hAnsi="Times New Roman" w:cs="Times New Roman"/>
          <w:sz w:val="20"/>
          <w:szCs w:val="20"/>
        </w:rPr>
        <w:t xml:space="preserve"> není v programovém logu uveden odkaz na ERDF, protože program je financován z více fondů. V tomto případě je povinností příjemců uvést odkaz na ERDF nebo </w:t>
      </w:r>
      <w:proofErr w:type="gramStart"/>
      <w:r w:rsidRPr="0020456C">
        <w:rPr>
          <w:rFonts w:ascii="Times New Roman" w:hAnsi="Times New Roman" w:cs="Times New Roman"/>
          <w:sz w:val="20"/>
          <w:szCs w:val="20"/>
        </w:rPr>
        <w:t>alespoň  odkaz</w:t>
      </w:r>
      <w:proofErr w:type="gramEnd"/>
      <w:r w:rsidRPr="0020456C">
        <w:rPr>
          <w:rFonts w:ascii="Times New Roman" w:hAnsi="Times New Roman" w:cs="Times New Roman"/>
          <w:sz w:val="20"/>
          <w:szCs w:val="20"/>
        </w:rPr>
        <w:t xml:space="preserve"> „Project co-</w:t>
      </w:r>
      <w:proofErr w:type="spellStart"/>
      <w:r w:rsidRPr="0020456C">
        <w:rPr>
          <w:rFonts w:ascii="Times New Roman" w:hAnsi="Times New Roman" w:cs="Times New Roman"/>
          <w:sz w:val="20"/>
          <w:szCs w:val="20"/>
        </w:rPr>
        <w:t>funded</w:t>
      </w:r>
      <w:proofErr w:type="spellEnd"/>
      <w:r w:rsidRPr="0020456C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20456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045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56C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20456C">
        <w:rPr>
          <w:rFonts w:ascii="Times New Roman" w:hAnsi="Times New Roman" w:cs="Times New Roman"/>
          <w:sz w:val="20"/>
          <w:szCs w:val="20"/>
        </w:rPr>
        <w:t xml:space="preserve"> Union”. </w:t>
      </w:r>
    </w:p>
  </w:footnote>
  <w:footnote w:id="20">
    <w:p w:rsidR="004F6DA1" w:rsidRDefault="004F6DA1" w:rsidP="00DD6258">
      <w:pPr>
        <w:pStyle w:val="Textpoznpodarou"/>
        <w:jc w:val="both"/>
      </w:pPr>
      <w:r w:rsidRPr="00B309CE">
        <w:footnoteRef/>
      </w:r>
      <w:r w:rsidRPr="009A2D22">
        <w:t xml:space="preserve"> </w:t>
      </w:r>
      <w:r>
        <w:t xml:space="preserve">V případě malých předmětů obecně platí, že všechny povinné údaje jsou na daný předmět vytisknuty/uvedeny tehdy, pokud to lze provést tak, </w:t>
      </w:r>
      <w:r w:rsidRPr="009A2D22">
        <w:t>aby text byl čitelný, přehledný</w:t>
      </w:r>
      <w:r>
        <w:t xml:space="preserve"> a </w:t>
      </w:r>
      <w:r w:rsidRPr="009A2D22">
        <w:t>srozumitelný</w:t>
      </w:r>
      <w:r>
        <w:t>.</w:t>
      </w:r>
      <w:r w:rsidRPr="009A2D22">
        <w:t xml:space="preserve"> </w:t>
      </w:r>
    </w:p>
  </w:footnote>
  <w:footnote w:id="21">
    <w:p w:rsidR="004F6DA1" w:rsidRDefault="004F6DA1" w:rsidP="00DD6258">
      <w:pPr>
        <w:pStyle w:val="Textpoznpodarou"/>
      </w:pPr>
      <w:r>
        <w:rPr>
          <w:rStyle w:val="Znakapoznpodarou"/>
        </w:rPr>
        <w:footnoteRef/>
      </w:r>
      <w:r>
        <w:t xml:space="preserve"> U programu DANUBE je třeba uvést odkaz na </w:t>
      </w:r>
      <w:r w:rsidRPr="00B309CE">
        <w:t>„Project</w:t>
      </w:r>
      <w:r>
        <w:t xml:space="preserve"> </w:t>
      </w:r>
      <w:r w:rsidRPr="00B309CE">
        <w:t>co-</w:t>
      </w:r>
      <w:proofErr w:type="spellStart"/>
      <w:r w:rsidRPr="00B309CE">
        <w:t>funded</w:t>
      </w:r>
      <w:proofErr w:type="spellEnd"/>
      <w:r w:rsidRPr="00B309CE">
        <w:t xml:space="preserve"> by </w:t>
      </w:r>
      <w:proofErr w:type="spellStart"/>
      <w:r w:rsidRPr="00B309CE">
        <w:t>the</w:t>
      </w:r>
      <w:proofErr w:type="spellEnd"/>
      <w:r w:rsidRPr="00B309CE">
        <w:t xml:space="preserve"> </w:t>
      </w:r>
      <w:proofErr w:type="spellStart"/>
      <w:r w:rsidRPr="00B309CE">
        <w:t>European</w:t>
      </w:r>
      <w:proofErr w:type="spellEnd"/>
      <w:r w:rsidRPr="00B309CE">
        <w:t xml:space="preserve"> Union”</w:t>
      </w:r>
      <w:r>
        <w:t>, tam, kde je to možné odkaz na ERDF.</w:t>
      </w:r>
    </w:p>
  </w:footnote>
  <w:footnote w:id="22">
    <w:p w:rsidR="004F6DA1" w:rsidRDefault="004F6DA1" w:rsidP="00DD6258">
      <w:pPr>
        <w:pStyle w:val="Default"/>
        <w:rPr>
          <w:sz w:val="14"/>
          <w:szCs w:val="14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4"/>
          <w:szCs w:val="14"/>
        </w:rPr>
        <w:t xml:space="preserve">Pokud nelze výdaje spojené s daným výstupem jednoznačně oddělit, uplatňuje se uvedená sankce v % na celkové způsobilé výdaje daného partnera. </w:t>
      </w:r>
    </w:p>
    <w:p w:rsidR="004F6DA1" w:rsidRDefault="004F6DA1" w:rsidP="00DD6258">
      <w:pPr>
        <w:pStyle w:val="Default"/>
      </w:pPr>
    </w:p>
  </w:footnote>
  <w:footnote w:id="23">
    <w:p w:rsidR="00C93CD4" w:rsidRDefault="00C93CD4">
      <w:pPr>
        <w:pStyle w:val="Textpoznpodarou"/>
      </w:pPr>
      <w:r w:rsidRPr="00532416">
        <w:rPr>
          <w:rFonts w:ascii="Arial" w:hAnsi="Arial" w:cs="Arial"/>
          <w:color w:val="000000"/>
          <w:sz w:val="14"/>
          <w:szCs w:val="14"/>
        </w:rPr>
        <w:footnoteRef/>
      </w:r>
      <w:r w:rsidRPr="00532416">
        <w:rPr>
          <w:rFonts w:ascii="Arial" w:hAnsi="Arial" w:cs="Arial"/>
          <w:color w:val="000000"/>
          <w:sz w:val="14"/>
          <w:szCs w:val="14"/>
        </w:rPr>
        <w:t xml:space="preserve"> </w:t>
      </w:r>
      <w:r w:rsidRPr="00532416">
        <w:rPr>
          <w:rFonts w:ascii="Arial" w:hAnsi="Arial" w:cs="Arial"/>
          <w:color w:val="000000"/>
          <w:sz w:val="14"/>
          <w:szCs w:val="14"/>
        </w:rPr>
        <w:t xml:space="preserve">V případě projektových partnerů programu </w:t>
      </w:r>
      <w:proofErr w:type="spellStart"/>
      <w:r w:rsidRPr="00532416">
        <w:rPr>
          <w:rFonts w:ascii="Arial" w:hAnsi="Arial" w:cs="Arial"/>
          <w:color w:val="000000"/>
          <w:sz w:val="14"/>
          <w:szCs w:val="14"/>
        </w:rPr>
        <w:t>Interreg</w:t>
      </w:r>
      <w:proofErr w:type="spellEnd"/>
      <w:r w:rsidRPr="00532416">
        <w:rPr>
          <w:rFonts w:ascii="Arial" w:hAnsi="Arial" w:cs="Arial"/>
          <w:color w:val="000000"/>
          <w:sz w:val="14"/>
          <w:szCs w:val="14"/>
        </w:rPr>
        <w:t xml:space="preserve"> DANUBE, vzhledem k absenci monitorovacího systému, bude postup předkládání zprávy o průběhu projektu a výdajů ke kontrole spec</w:t>
      </w:r>
      <w:r w:rsidRPr="00C93CD4">
        <w:rPr>
          <w:rFonts w:ascii="Arial" w:hAnsi="Arial" w:cs="Arial"/>
          <w:color w:val="000000"/>
          <w:sz w:val="14"/>
          <w:szCs w:val="14"/>
        </w:rPr>
        <w:t xml:space="preserve">ifikován později podle pokynů </w:t>
      </w:r>
      <w:r>
        <w:rPr>
          <w:rFonts w:ascii="Arial" w:hAnsi="Arial" w:cs="Arial"/>
          <w:color w:val="000000"/>
          <w:sz w:val="14"/>
          <w:szCs w:val="14"/>
        </w:rPr>
        <w:t>ŘO</w:t>
      </w:r>
      <w:r w:rsidRPr="00C93CD4">
        <w:rPr>
          <w:rFonts w:ascii="Arial" w:hAnsi="Arial" w:cs="Arial"/>
          <w:color w:val="000000"/>
          <w:sz w:val="14"/>
          <w:szCs w:val="14"/>
        </w:rPr>
        <w:t>/</w:t>
      </w:r>
      <w:r>
        <w:rPr>
          <w:rFonts w:ascii="Arial" w:hAnsi="Arial" w:cs="Arial"/>
          <w:color w:val="000000"/>
          <w:sz w:val="14"/>
          <w:szCs w:val="14"/>
        </w:rPr>
        <w:t>sekretariátu</w:t>
      </w:r>
      <w:r w:rsidRPr="00532416">
        <w:rPr>
          <w:rFonts w:ascii="Arial" w:hAnsi="Arial" w:cs="Arial"/>
          <w:color w:val="000000"/>
          <w:sz w:val="14"/>
          <w:szCs w:val="14"/>
        </w:rPr>
        <w:t>.</w:t>
      </w:r>
    </w:p>
  </w:footnote>
  <w:footnote w:id="24">
    <w:p w:rsidR="004F6DA1" w:rsidRDefault="004F6DA1" w:rsidP="00DD6258">
      <w:pPr>
        <w:pStyle w:val="Textpoznpodarou"/>
      </w:pPr>
      <w:r w:rsidRPr="0025478A">
        <w:rPr>
          <w:rStyle w:val="Znakapoznpodarou"/>
        </w:rPr>
        <w:footnoteRef/>
      </w:r>
      <w:r w:rsidRPr="0025478A">
        <w:t xml:space="preserve"> Zpráva může být po dohodě s pobočkou předložena též v angličtině a na jiném formuláři, který používá projektový partner pro podávání zpráv vedoucímu partnerovi. </w:t>
      </w:r>
      <w:r w:rsidRPr="0025478A">
        <w:rPr>
          <w:b/>
        </w:rPr>
        <w:t xml:space="preserve">V TOMTO PŘÍPADĚ VŠAK MUSÍ SPLŇOVAT VŠECHNY NÁLEŽITOSI STANOVENÉ </w:t>
      </w:r>
      <w:r>
        <w:rPr>
          <w:b/>
        </w:rPr>
        <w:t>CENTREM</w:t>
      </w:r>
      <w:r w:rsidRPr="0025478A">
        <w:rPr>
          <w:b/>
        </w:rPr>
        <w:t xml:space="preserve">, RESP. MUSÍ BÝT O CHYBĚJÍCÍ DOPLNĚNA. TENTO POSTUP VŽDY KONSULTUJTE S PRACOVNÍKY POBOČKY </w:t>
      </w:r>
      <w:r>
        <w:rPr>
          <w:b/>
        </w:rPr>
        <w:t>CENTRA</w:t>
      </w:r>
      <w:r w:rsidRPr="0025478A">
        <w:rPr>
          <w:b/>
        </w:rPr>
        <w:t>.</w:t>
      </w:r>
    </w:p>
  </w:footnote>
  <w:footnote w:id="25">
    <w:p w:rsidR="004F6DA1" w:rsidRDefault="004F6DA1">
      <w:pPr>
        <w:pStyle w:val="Textpoznpodarou"/>
      </w:pPr>
      <w:r>
        <w:rPr>
          <w:rStyle w:val="Znakapoznpodarou"/>
        </w:rPr>
        <w:footnoteRef/>
      </w:r>
      <w:r>
        <w:t xml:space="preserve"> Přihlášení do systému </w:t>
      </w:r>
      <w:proofErr w:type="spellStart"/>
      <w:r>
        <w:t>eMS</w:t>
      </w:r>
      <w:proofErr w:type="spellEnd"/>
      <w:r>
        <w:t xml:space="preserve"> najdete na tomto odkazu: </w:t>
      </w:r>
      <w:hyperlink r:id="rId1" w:history="1">
        <w:r w:rsidRPr="00D61F76">
          <w:rPr>
            <w:rStyle w:val="Hypertextovodkaz"/>
          </w:rPr>
          <w:t>https://ems.interreg-central.eu/app/main?execution=e1s1</w:t>
        </w:r>
      </w:hyperlink>
      <w:r>
        <w:t xml:space="preserve"> </w:t>
      </w:r>
    </w:p>
  </w:footnote>
  <w:footnote w:id="26">
    <w:p w:rsidR="004F6DA1" w:rsidRDefault="004F6D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Offline</w:t>
      </w:r>
      <w:proofErr w:type="spellEnd"/>
      <w:r>
        <w:t xml:space="preserve"> verze Partner report je součástí Pokynů jako příloha č. 9 a má pouze informativní charakter. Partner report musí být vyplněna v systému </w:t>
      </w:r>
      <w:proofErr w:type="spellStart"/>
      <w:r>
        <w:t>eMS</w:t>
      </w:r>
      <w:proofErr w:type="spellEnd"/>
      <w:r>
        <w:t xml:space="preserve">. </w:t>
      </w:r>
    </w:p>
  </w:footnote>
  <w:footnote w:id="27">
    <w:p w:rsidR="004F6DA1" w:rsidRDefault="004F6DA1" w:rsidP="00DD6258">
      <w:pPr>
        <w:pStyle w:val="Textpoznpodarou"/>
      </w:pPr>
      <w:r>
        <w:rPr>
          <w:rStyle w:val="Znakapoznpodarou"/>
        </w:rPr>
        <w:footnoteRef/>
      </w:r>
      <w:r>
        <w:t xml:space="preserve"> Viz odrážka č. 2.2</w:t>
      </w:r>
    </w:p>
  </w:footnote>
  <w:footnote w:id="28">
    <w:p w:rsidR="004F6DA1" w:rsidRDefault="004F6DA1" w:rsidP="00DD6258">
      <w:pPr>
        <w:pStyle w:val="Textpoznpodarou"/>
      </w:pPr>
      <w:r>
        <w:rPr>
          <w:rStyle w:val="Znakapoznpodarou"/>
        </w:rPr>
        <w:footnoteRef/>
      </w:r>
      <w:r>
        <w:t xml:space="preserve"> Tato povinnost (zaúčtování na středisko) může být splněna formou identifikovatelnosti účetního dokladu na výstupní sestavě z oddělené účetní evidence.</w:t>
      </w:r>
    </w:p>
  </w:footnote>
  <w:footnote w:id="29">
    <w:p w:rsidR="004F6DA1" w:rsidRDefault="004F6DA1" w:rsidP="00DD6258">
      <w:pPr>
        <w:pStyle w:val="Textpoznpodarou"/>
        <w:jc w:val="both"/>
      </w:pPr>
      <w:r w:rsidRPr="00E22509">
        <w:rPr>
          <w:rStyle w:val="Znakapoznpodarou"/>
        </w:rPr>
        <w:footnoteRef/>
      </w:r>
      <w:r w:rsidRPr="00E22509">
        <w:t xml:space="preserve"> </w:t>
      </w:r>
      <w:r>
        <w:t>V</w:t>
      </w:r>
      <w:r w:rsidRPr="00E22509">
        <w:t xml:space="preserve"> případě vyzvání příslušných orgánů musí být </w:t>
      </w:r>
      <w:r>
        <w:t xml:space="preserve">příslušný </w:t>
      </w:r>
      <w:r w:rsidRPr="00E22509">
        <w:t xml:space="preserve">partner schopen doložit </w:t>
      </w:r>
      <w:r>
        <w:t>o</w:t>
      </w:r>
      <w:r w:rsidRPr="00E22509">
        <w:t>riginály účetních dokladů.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13F"/>
    <w:multiLevelType w:val="multilevel"/>
    <w:tmpl w:val="AA504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7586D8E"/>
    <w:multiLevelType w:val="hybridMultilevel"/>
    <w:tmpl w:val="670CB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4D36"/>
    <w:multiLevelType w:val="hybridMultilevel"/>
    <w:tmpl w:val="9A0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0A88"/>
    <w:multiLevelType w:val="hybridMultilevel"/>
    <w:tmpl w:val="472A9498"/>
    <w:lvl w:ilvl="0" w:tplc="FD961D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11E04"/>
    <w:multiLevelType w:val="hybridMultilevel"/>
    <w:tmpl w:val="49F01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90BDF"/>
    <w:multiLevelType w:val="multilevel"/>
    <w:tmpl w:val="AB00AB56"/>
    <w:numStyleLink w:val="Aufzhlung"/>
  </w:abstractNum>
  <w:abstractNum w:abstractNumId="6">
    <w:nsid w:val="138341A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BC5329"/>
    <w:multiLevelType w:val="hybridMultilevel"/>
    <w:tmpl w:val="49826366"/>
    <w:lvl w:ilvl="0" w:tplc="C77C64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D57A49"/>
    <w:multiLevelType w:val="hybridMultilevel"/>
    <w:tmpl w:val="3AC614A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8693C72"/>
    <w:multiLevelType w:val="hybridMultilevel"/>
    <w:tmpl w:val="9F88B220"/>
    <w:lvl w:ilvl="0" w:tplc="601466DC">
      <w:start w:val="4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3565E"/>
    <w:multiLevelType w:val="hybridMultilevel"/>
    <w:tmpl w:val="1BB68B04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BBC239D"/>
    <w:multiLevelType w:val="multilevel"/>
    <w:tmpl w:val="AB00AB56"/>
    <w:styleLink w:val="Aufzhlung"/>
    <w:lvl w:ilvl="0">
      <w:start w:val="1"/>
      <w:numFmt w:val="bullet"/>
      <w:pStyle w:val="01AufzhlungEbene1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pStyle w:val="02AufzhlungEbene2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pStyle w:val="03AufzhlungEbene3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3546DD"/>
    <w:multiLevelType w:val="hybridMultilevel"/>
    <w:tmpl w:val="7F8CC4D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231D3E6F"/>
    <w:multiLevelType w:val="hybridMultilevel"/>
    <w:tmpl w:val="CA5EF5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D43057"/>
    <w:multiLevelType w:val="hybridMultilevel"/>
    <w:tmpl w:val="B0E60E48"/>
    <w:lvl w:ilvl="0" w:tplc="35F41E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52DE6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F83A15"/>
    <w:multiLevelType w:val="hybridMultilevel"/>
    <w:tmpl w:val="21BC80E2"/>
    <w:lvl w:ilvl="0" w:tplc="AE0ED1CC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E77EB"/>
    <w:multiLevelType w:val="multilevel"/>
    <w:tmpl w:val="90404EA4"/>
    <w:lvl w:ilvl="0">
      <w:start w:val="1"/>
      <w:numFmt w:val="lowerLetter"/>
      <w:lvlText w:val="%1│"/>
      <w:lvlJc w:val="right"/>
      <w:pPr>
        <w:ind w:left="568" w:hanging="284"/>
      </w:pPr>
      <w:rPr>
        <w:rFonts w:hint="default"/>
        <w:color w:val="A6BECB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53D20E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672CF1"/>
    <w:multiLevelType w:val="hybridMultilevel"/>
    <w:tmpl w:val="8F4E4886"/>
    <w:lvl w:ilvl="0" w:tplc="135AB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3A37FC"/>
    <w:multiLevelType w:val="hybridMultilevel"/>
    <w:tmpl w:val="38C8E3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0E08E6"/>
    <w:multiLevelType w:val="hybridMultilevel"/>
    <w:tmpl w:val="008E93EA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C6208"/>
    <w:multiLevelType w:val="multilevel"/>
    <w:tmpl w:val="3F5C012C"/>
    <w:lvl w:ilvl="0">
      <w:start w:val="1"/>
      <w:numFmt w:val="lowerLetter"/>
      <w:lvlText w:val="%1│"/>
      <w:lvlJc w:val="right"/>
      <w:pPr>
        <w:ind w:left="568" w:hanging="284"/>
      </w:pPr>
      <w:rPr>
        <w:rFonts w:hint="default"/>
        <w:color w:val="A6BECB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BDE6CE3"/>
    <w:multiLevelType w:val="multilevel"/>
    <w:tmpl w:val="97307F76"/>
    <w:lvl w:ilvl="0">
      <w:start w:val="7"/>
      <w:numFmt w:val="lowerLetter"/>
      <w:lvlText w:val="%1│"/>
      <w:lvlJc w:val="right"/>
      <w:pPr>
        <w:ind w:left="568" w:hanging="284"/>
      </w:pPr>
      <w:rPr>
        <w:rFonts w:hint="default"/>
        <w:color w:val="A6BECB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2073608"/>
    <w:multiLevelType w:val="hybridMultilevel"/>
    <w:tmpl w:val="244CF96E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607FE"/>
    <w:multiLevelType w:val="multilevel"/>
    <w:tmpl w:val="75C81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5">
    <w:nsid w:val="437F1DD1"/>
    <w:multiLevelType w:val="hybridMultilevel"/>
    <w:tmpl w:val="711EF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A7068B"/>
    <w:multiLevelType w:val="hybridMultilevel"/>
    <w:tmpl w:val="62A82D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6986753"/>
    <w:multiLevelType w:val="hybridMultilevel"/>
    <w:tmpl w:val="4DEA9DB2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83148CA"/>
    <w:multiLevelType w:val="hybridMultilevel"/>
    <w:tmpl w:val="7A8E1EBC"/>
    <w:lvl w:ilvl="0" w:tplc="070E0AAA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57673F"/>
    <w:multiLevelType w:val="hybridMultilevel"/>
    <w:tmpl w:val="30A200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1F3FE3"/>
    <w:multiLevelType w:val="hybridMultilevel"/>
    <w:tmpl w:val="356E2DA2"/>
    <w:lvl w:ilvl="0" w:tplc="C77C64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60C96"/>
    <w:multiLevelType w:val="hybridMultilevel"/>
    <w:tmpl w:val="75EE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63D6A"/>
    <w:multiLevelType w:val="hybridMultilevel"/>
    <w:tmpl w:val="A1B2D8FC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726C6A"/>
    <w:multiLevelType w:val="hybridMultilevel"/>
    <w:tmpl w:val="774E62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D1F6BA9"/>
    <w:multiLevelType w:val="hybridMultilevel"/>
    <w:tmpl w:val="A82896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3E21FB"/>
    <w:multiLevelType w:val="hybridMultilevel"/>
    <w:tmpl w:val="9DFA13C0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8678C5"/>
    <w:multiLevelType w:val="hybridMultilevel"/>
    <w:tmpl w:val="BE38E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3064C"/>
    <w:multiLevelType w:val="hybridMultilevel"/>
    <w:tmpl w:val="98E044BA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54424046"/>
    <w:multiLevelType w:val="hybridMultilevel"/>
    <w:tmpl w:val="017C4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CE278B"/>
    <w:multiLevelType w:val="hybridMultilevel"/>
    <w:tmpl w:val="850C9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C802B2"/>
    <w:multiLevelType w:val="hybridMultilevel"/>
    <w:tmpl w:val="C64CF548"/>
    <w:lvl w:ilvl="0" w:tplc="0C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B784BB9"/>
    <w:multiLevelType w:val="hybridMultilevel"/>
    <w:tmpl w:val="2FAC3382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967246"/>
    <w:multiLevelType w:val="hybridMultilevel"/>
    <w:tmpl w:val="8C366E2C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492FE3"/>
    <w:multiLevelType w:val="multilevel"/>
    <w:tmpl w:val="50FE98DA"/>
    <w:lvl w:ilvl="0">
      <w:start w:val="1"/>
      <w:numFmt w:val="decimal"/>
      <w:pStyle w:val="Pruka-Nadpis1"/>
      <w:lvlText w:val="%1.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Pruky-Nadpis2"/>
      <w:lvlText w:val="%1.%2."/>
      <w:lvlJc w:val="left"/>
      <w:pPr>
        <w:tabs>
          <w:tab w:val="num" w:pos="3655"/>
        </w:tabs>
        <w:ind w:left="1986" w:hanging="851"/>
      </w:pPr>
      <w:rPr>
        <w:rFonts w:cs="Times New Roman" w:hint="default"/>
      </w:rPr>
    </w:lvl>
    <w:lvl w:ilvl="2">
      <w:start w:val="1"/>
      <w:numFmt w:val="decimal"/>
      <w:pStyle w:val="Pruky-Nadpis4"/>
      <w:lvlText w:val="%1.%2.%3."/>
      <w:lvlJc w:val="left"/>
      <w:pPr>
        <w:tabs>
          <w:tab w:val="num" w:pos="567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cs="Times New Roman" w:hint="default"/>
      </w:rPr>
    </w:lvl>
  </w:abstractNum>
  <w:abstractNum w:abstractNumId="44">
    <w:nsid w:val="648F1DF1"/>
    <w:multiLevelType w:val="hybridMultilevel"/>
    <w:tmpl w:val="AF584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A97611"/>
    <w:multiLevelType w:val="hybridMultilevel"/>
    <w:tmpl w:val="715E88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5DC02F6"/>
    <w:multiLevelType w:val="hybridMultilevel"/>
    <w:tmpl w:val="314CA6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6B150EF"/>
    <w:multiLevelType w:val="hybridMultilevel"/>
    <w:tmpl w:val="CC3C92D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69095902"/>
    <w:multiLevelType w:val="hybridMultilevel"/>
    <w:tmpl w:val="E9423008"/>
    <w:lvl w:ilvl="0" w:tplc="0405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C0E3097"/>
    <w:multiLevelType w:val="multilevel"/>
    <w:tmpl w:val="FA486338"/>
    <w:lvl w:ilvl="0">
      <w:start w:val="1"/>
      <w:numFmt w:val="lowerLetter"/>
      <w:lvlText w:val="%1│"/>
      <w:lvlJc w:val="right"/>
      <w:pPr>
        <w:ind w:left="568" w:hanging="284"/>
      </w:pPr>
      <w:rPr>
        <w:rFonts w:hint="default"/>
        <w:color w:val="A6BECB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737E7405"/>
    <w:multiLevelType w:val="hybridMultilevel"/>
    <w:tmpl w:val="DF127416"/>
    <w:lvl w:ilvl="0" w:tplc="04050001">
      <w:start w:val="1"/>
      <w:numFmt w:val="bullet"/>
      <w:lvlText w:val=""/>
      <w:lvlJc w:val="left"/>
      <w:pPr>
        <w:tabs>
          <w:tab w:val="num" w:pos="1133"/>
        </w:tabs>
        <w:ind w:left="1133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754811F0"/>
    <w:multiLevelType w:val="hybridMultilevel"/>
    <w:tmpl w:val="12A0E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D4103B"/>
    <w:multiLevelType w:val="hybridMultilevel"/>
    <w:tmpl w:val="ABD0D2E2"/>
    <w:lvl w:ilvl="0" w:tplc="0405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B553FC4"/>
    <w:multiLevelType w:val="multilevel"/>
    <w:tmpl w:val="6C62778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54">
    <w:nsid w:val="7E37463B"/>
    <w:multiLevelType w:val="hybridMultilevel"/>
    <w:tmpl w:val="0B0894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9"/>
  </w:num>
  <w:num w:numId="4">
    <w:abstractNumId w:val="29"/>
  </w:num>
  <w:num w:numId="5">
    <w:abstractNumId w:val="33"/>
  </w:num>
  <w:num w:numId="6">
    <w:abstractNumId w:val="47"/>
  </w:num>
  <w:num w:numId="7">
    <w:abstractNumId w:val="15"/>
  </w:num>
  <w:num w:numId="8">
    <w:abstractNumId w:val="13"/>
  </w:num>
  <w:num w:numId="9">
    <w:abstractNumId w:val="26"/>
  </w:num>
  <w:num w:numId="10">
    <w:abstractNumId w:val="37"/>
  </w:num>
  <w:num w:numId="11">
    <w:abstractNumId w:val="10"/>
  </w:num>
  <w:num w:numId="12">
    <w:abstractNumId w:val="27"/>
  </w:num>
  <w:num w:numId="13">
    <w:abstractNumId w:val="4"/>
  </w:num>
  <w:num w:numId="14">
    <w:abstractNumId w:val="51"/>
  </w:num>
  <w:num w:numId="15">
    <w:abstractNumId w:val="43"/>
  </w:num>
  <w:num w:numId="16">
    <w:abstractNumId w:val="24"/>
  </w:num>
  <w:num w:numId="17">
    <w:abstractNumId w:val="7"/>
  </w:num>
  <w:num w:numId="18">
    <w:abstractNumId w:val="18"/>
  </w:num>
  <w:num w:numId="19">
    <w:abstractNumId w:val="14"/>
  </w:num>
  <w:num w:numId="20">
    <w:abstractNumId w:val="3"/>
  </w:num>
  <w:num w:numId="21">
    <w:abstractNumId w:val="44"/>
  </w:num>
  <w:num w:numId="22">
    <w:abstractNumId w:val="41"/>
  </w:num>
  <w:num w:numId="23">
    <w:abstractNumId w:val="23"/>
  </w:num>
  <w:num w:numId="24">
    <w:abstractNumId w:val="20"/>
  </w:num>
  <w:num w:numId="25">
    <w:abstractNumId w:val="36"/>
  </w:num>
  <w:num w:numId="26">
    <w:abstractNumId w:val="39"/>
  </w:num>
  <w:num w:numId="27">
    <w:abstractNumId w:val="2"/>
  </w:num>
  <w:num w:numId="28">
    <w:abstractNumId w:val="9"/>
  </w:num>
  <w:num w:numId="29">
    <w:abstractNumId w:val="8"/>
  </w:num>
  <w:num w:numId="30">
    <w:abstractNumId w:val="40"/>
  </w:num>
  <w:num w:numId="31">
    <w:abstractNumId w:val="0"/>
  </w:num>
  <w:num w:numId="32">
    <w:abstractNumId w:val="53"/>
  </w:num>
  <w:num w:numId="33">
    <w:abstractNumId w:val="54"/>
  </w:num>
  <w:num w:numId="34">
    <w:abstractNumId w:val="28"/>
  </w:num>
  <w:num w:numId="35">
    <w:abstractNumId w:val="1"/>
  </w:num>
  <w:num w:numId="36">
    <w:abstractNumId w:val="32"/>
  </w:num>
  <w:num w:numId="37">
    <w:abstractNumId w:val="35"/>
  </w:num>
  <w:num w:numId="38">
    <w:abstractNumId w:val="52"/>
  </w:num>
  <w:num w:numId="39">
    <w:abstractNumId w:val="48"/>
  </w:num>
  <w:num w:numId="40">
    <w:abstractNumId w:val="30"/>
  </w:num>
  <w:num w:numId="41">
    <w:abstractNumId w:val="42"/>
  </w:num>
  <w:num w:numId="42">
    <w:abstractNumId w:val="25"/>
  </w:num>
  <w:num w:numId="43">
    <w:abstractNumId w:val="45"/>
  </w:num>
  <w:num w:numId="44">
    <w:abstractNumId w:val="46"/>
  </w:num>
  <w:num w:numId="45">
    <w:abstractNumId w:val="38"/>
  </w:num>
  <w:num w:numId="46">
    <w:abstractNumId w:val="31"/>
  </w:num>
  <w:num w:numId="47">
    <w:abstractNumId w:val="50"/>
  </w:num>
  <w:num w:numId="48">
    <w:abstractNumId w:val="12"/>
  </w:num>
  <w:num w:numId="49">
    <w:abstractNumId w:val="11"/>
  </w:num>
  <w:num w:numId="50">
    <w:abstractNumId w:val="5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51">
    <w:abstractNumId w:val="16"/>
  </w:num>
  <w:num w:numId="52">
    <w:abstractNumId w:val="49"/>
  </w:num>
  <w:num w:numId="53">
    <w:abstractNumId w:val="22"/>
  </w:num>
  <w:num w:numId="54">
    <w:abstractNumId w:val="21"/>
  </w:num>
  <w:num w:numId="55">
    <w:abstractNumId w:val="6"/>
  </w:num>
  <w:num w:numId="56">
    <w:abstractNumId w:val="15"/>
    <w:lvlOverride w:ilvl="0">
      <w:startOverride w:val="8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58"/>
    <w:rsid w:val="0000154D"/>
    <w:rsid w:val="0000170E"/>
    <w:rsid w:val="00002AF7"/>
    <w:rsid w:val="00004E6B"/>
    <w:rsid w:val="0000752E"/>
    <w:rsid w:val="00011164"/>
    <w:rsid w:val="0001266F"/>
    <w:rsid w:val="00013912"/>
    <w:rsid w:val="00016FD9"/>
    <w:rsid w:val="00024D55"/>
    <w:rsid w:val="00025BD3"/>
    <w:rsid w:val="000355EA"/>
    <w:rsid w:val="000411F5"/>
    <w:rsid w:val="00056D7F"/>
    <w:rsid w:val="00060351"/>
    <w:rsid w:val="0008427B"/>
    <w:rsid w:val="000875BA"/>
    <w:rsid w:val="000907C3"/>
    <w:rsid w:val="000A1769"/>
    <w:rsid w:val="000A4C3C"/>
    <w:rsid w:val="000B02CA"/>
    <w:rsid w:val="000B1813"/>
    <w:rsid w:val="000B1A31"/>
    <w:rsid w:val="000B237A"/>
    <w:rsid w:val="000B269D"/>
    <w:rsid w:val="000C0F61"/>
    <w:rsid w:val="000C33D2"/>
    <w:rsid w:val="000E04DE"/>
    <w:rsid w:val="000E1231"/>
    <w:rsid w:val="00102894"/>
    <w:rsid w:val="00110B08"/>
    <w:rsid w:val="001126E3"/>
    <w:rsid w:val="00115A7E"/>
    <w:rsid w:val="00116B0B"/>
    <w:rsid w:val="0012747A"/>
    <w:rsid w:val="00132837"/>
    <w:rsid w:val="00133BFE"/>
    <w:rsid w:val="001508F4"/>
    <w:rsid w:val="0015138F"/>
    <w:rsid w:val="001609AD"/>
    <w:rsid w:val="00163843"/>
    <w:rsid w:val="00163E0F"/>
    <w:rsid w:val="0016667E"/>
    <w:rsid w:val="00171683"/>
    <w:rsid w:val="00171DBD"/>
    <w:rsid w:val="00173265"/>
    <w:rsid w:val="00177D0E"/>
    <w:rsid w:val="0018560D"/>
    <w:rsid w:val="001936EF"/>
    <w:rsid w:val="001964D2"/>
    <w:rsid w:val="001A0892"/>
    <w:rsid w:val="001A1E8C"/>
    <w:rsid w:val="001B4C40"/>
    <w:rsid w:val="001C2B06"/>
    <w:rsid w:val="001D1D36"/>
    <w:rsid w:val="001F31E2"/>
    <w:rsid w:val="001F4A9E"/>
    <w:rsid w:val="00200046"/>
    <w:rsid w:val="0020456C"/>
    <w:rsid w:val="00207C87"/>
    <w:rsid w:val="00212CEF"/>
    <w:rsid w:val="0021461A"/>
    <w:rsid w:val="00222F2F"/>
    <w:rsid w:val="0022316B"/>
    <w:rsid w:val="0022696C"/>
    <w:rsid w:val="00234128"/>
    <w:rsid w:val="00234289"/>
    <w:rsid w:val="00234901"/>
    <w:rsid w:val="002363D0"/>
    <w:rsid w:val="00243544"/>
    <w:rsid w:val="00260076"/>
    <w:rsid w:val="00264E2B"/>
    <w:rsid w:val="00265BB9"/>
    <w:rsid w:val="00267CA6"/>
    <w:rsid w:val="00274096"/>
    <w:rsid w:val="0027734F"/>
    <w:rsid w:val="0027765C"/>
    <w:rsid w:val="00285199"/>
    <w:rsid w:val="00286C98"/>
    <w:rsid w:val="00287378"/>
    <w:rsid w:val="0029227B"/>
    <w:rsid w:val="0029695C"/>
    <w:rsid w:val="002A26CA"/>
    <w:rsid w:val="002A7674"/>
    <w:rsid w:val="002B3C5E"/>
    <w:rsid w:val="002B6531"/>
    <w:rsid w:val="002B7293"/>
    <w:rsid w:val="002C453B"/>
    <w:rsid w:val="002E3A3B"/>
    <w:rsid w:val="002E7A1F"/>
    <w:rsid w:val="002F6D60"/>
    <w:rsid w:val="00303EAC"/>
    <w:rsid w:val="0031532C"/>
    <w:rsid w:val="00315D29"/>
    <w:rsid w:val="003217A0"/>
    <w:rsid w:val="00332FC5"/>
    <w:rsid w:val="0033481E"/>
    <w:rsid w:val="003520BF"/>
    <w:rsid w:val="003544EC"/>
    <w:rsid w:val="0035662C"/>
    <w:rsid w:val="00371138"/>
    <w:rsid w:val="003748E9"/>
    <w:rsid w:val="003820AB"/>
    <w:rsid w:val="00384D4E"/>
    <w:rsid w:val="0038544F"/>
    <w:rsid w:val="003913FB"/>
    <w:rsid w:val="003930B3"/>
    <w:rsid w:val="003A2E6F"/>
    <w:rsid w:val="003B36E2"/>
    <w:rsid w:val="003C3981"/>
    <w:rsid w:val="003C5EEC"/>
    <w:rsid w:val="003D3CE0"/>
    <w:rsid w:val="003D4DEF"/>
    <w:rsid w:val="003D7434"/>
    <w:rsid w:val="003E1042"/>
    <w:rsid w:val="003E51B2"/>
    <w:rsid w:val="003E5BF7"/>
    <w:rsid w:val="003E5E1E"/>
    <w:rsid w:val="003F0A4B"/>
    <w:rsid w:val="00400EA0"/>
    <w:rsid w:val="00416386"/>
    <w:rsid w:val="0042467C"/>
    <w:rsid w:val="004302A6"/>
    <w:rsid w:val="00430D33"/>
    <w:rsid w:val="0044723C"/>
    <w:rsid w:val="00450ED7"/>
    <w:rsid w:val="00452C55"/>
    <w:rsid w:val="00455E1A"/>
    <w:rsid w:val="00456383"/>
    <w:rsid w:val="0045763E"/>
    <w:rsid w:val="004670E0"/>
    <w:rsid w:val="00474377"/>
    <w:rsid w:val="004913A8"/>
    <w:rsid w:val="00493276"/>
    <w:rsid w:val="004B088B"/>
    <w:rsid w:val="004B1B3D"/>
    <w:rsid w:val="004B1F59"/>
    <w:rsid w:val="004C0D52"/>
    <w:rsid w:val="004C64C6"/>
    <w:rsid w:val="004D2371"/>
    <w:rsid w:val="004D7531"/>
    <w:rsid w:val="004E146F"/>
    <w:rsid w:val="004F6DA1"/>
    <w:rsid w:val="00500EBC"/>
    <w:rsid w:val="00502637"/>
    <w:rsid w:val="005028B7"/>
    <w:rsid w:val="00505376"/>
    <w:rsid w:val="0050568D"/>
    <w:rsid w:val="00505AC0"/>
    <w:rsid w:val="00507BEB"/>
    <w:rsid w:val="00512575"/>
    <w:rsid w:val="00512A15"/>
    <w:rsid w:val="00531974"/>
    <w:rsid w:val="00532416"/>
    <w:rsid w:val="00534FC4"/>
    <w:rsid w:val="00537284"/>
    <w:rsid w:val="00541AA7"/>
    <w:rsid w:val="00550A06"/>
    <w:rsid w:val="005533A3"/>
    <w:rsid w:val="005538BC"/>
    <w:rsid w:val="00557E04"/>
    <w:rsid w:val="00565AAB"/>
    <w:rsid w:val="00567B2B"/>
    <w:rsid w:val="0058259D"/>
    <w:rsid w:val="00582964"/>
    <w:rsid w:val="005A05E4"/>
    <w:rsid w:val="005B279E"/>
    <w:rsid w:val="005B3CA5"/>
    <w:rsid w:val="005B3F0C"/>
    <w:rsid w:val="005C0C9B"/>
    <w:rsid w:val="005C1C77"/>
    <w:rsid w:val="005C6D12"/>
    <w:rsid w:val="005D22B5"/>
    <w:rsid w:val="005D2A04"/>
    <w:rsid w:val="005D2CFA"/>
    <w:rsid w:val="005E2365"/>
    <w:rsid w:val="006003F5"/>
    <w:rsid w:val="00602D3B"/>
    <w:rsid w:val="006055A4"/>
    <w:rsid w:val="0060792C"/>
    <w:rsid w:val="00613518"/>
    <w:rsid w:val="006261BE"/>
    <w:rsid w:val="00627004"/>
    <w:rsid w:val="006405D4"/>
    <w:rsid w:val="0064129E"/>
    <w:rsid w:val="0064415B"/>
    <w:rsid w:val="00644F4C"/>
    <w:rsid w:val="00653607"/>
    <w:rsid w:val="0065639B"/>
    <w:rsid w:val="00657F91"/>
    <w:rsid w:val="006605B8"/>
    <w:rsid w:val="0066116B"/>
    <w:rsid w:val="00662BFC"/>
    <w:rsid w:val="00664244"/>
    <w:rsid w:val="00674302"/>
    <w:rsid w:val="00675464"/>
    <w:rsid w:val="006762F9"/>
    <w:rsid w:val="0068490D"/>
    <w:rsid w:val="006870B1"/>
    <w:rsid w:val="006962FF"/>
    <w:rsid w:val="006B0E32"/>
    <w:rsid w:val="006B606B"/>
    <w:rsid w:val="006B6B4B"/>
    <w:rsid w:val="006C31DA"/>
    <w:rsid w:val="006C4129"/>
    <w:rsid w:val="006C5576"/>
    <w:rsid w:val="006D1535"/>
    <w:rsid w:val="006D2265"/>
    <w:rsid w:val="006D4345"/>
    <w:rsid w:val="006D5EEC"/>
    <w:rsid w:val="006D68C9"/>
    <w:rsid w:val="006E04A6"/>
    <w:rsid w:val="006E0B7F"/>
    <w:rsid w:val="006E3F0A"/>
    <w:rsid w:val="006F60C3"/>
    <w:rsid w:val="0070073E"/>
    <w:rsid w:val="007014F9"/>
    <w:rsid w:val="00704F6F"/>
    <w:rsid w:val="0071602F"/>
    <w:rsid w:val="00717D18"/>
    <w:rsid w:val="00725383"/>
    <w:rsid w:val="00725A14"/>
    <w:rsid w:val="00727B4B"/>
    <w:rsid w:val="00733506"/>
    <w:rsid w:val="00737365"/>
    <w:rsid w:val="0074039F"/>
    <w:rsid w:val="0074125A"/>
    <w:rsid w:val="00743272"/>
    <w:rsid w:val="007434E5"/>
    <w:rsid w:val="00745A75"/>
    <w:rsid w:val="00746956"/>
    <w:rsid w:val="00750B6F"/>
    <w:rsid w:val="007611FE"/>
    <w:rsid w:val="0076145E"/>
    <w:rsid w:val="00765901"/>
    <w:rsid w:val="00780935"/>
    <w:rsid w:val="00781B5C"/>
    <w:rsid w:val="00791022"/>
    <w:rsid w:val="00793AC8"/>
    <w:rsid w:val="007A7D60"/>
    <w:rsid w:val="007B1F0F"/>
    <w:rsid w:val="007B350F"/>
    <w:rsid w:val="007B36B0"/>
    <w:rsid w:val="007D113B"/>
    <w:rsid w:val="007D17DA"/>
    <w:rsid w:val="007D5D93"/>
    <w:rsid w:val="007F68AD"/>
    <w:rsid w:val="00802A64"/>
    <w:rsid w:val="008040ED"/>
    <w:rsid w:val="008045F0"/>
    <w:rsid w:val="00811EF4"/>
    <w:rsid w:val="008142AC"/>
    <w:rsid w:val="008235BF"/>
    <w:rsid w:val="0082457B"/>
    <w:rsid w:val="00826A51"/>
    <w:rsid w:val="00826BDB"/>
    <w:rsid w:val="008273F4"/>
    <w:rsid w:val="0083743C"/>
    <w:rsid w:val="00837E80"/>
    <w:rsid w:val="0084260D"/>
    <w:rsid w:val="00844C68"/>
    <w:rsid w:val="00852AC7"/>
    <w:rsid w:val="00857F13"/>
    <w:rsid w:val="00863480"/>
    <w:rsid w:val="00864119"/>
    <w:rsid w:val="008661DE"/>
    <w:rsid w:val="0086713F"/>
    <w:rsid w:val="00872264"/>
    <w:rsid w:val="00875BD3"/>
    <w:rsid w:val="00887F85"/>
    <w:rsid w:val="00891762"/>
    <w:rsid w:val="00891FD5"/>
    <w:rsid w:val="008931F5"/>
    <w:rsid w:val="00893BA7"/>
    <w:rsid w:val="008A2FBB"/>
    <w:rsid w:val="008B021B"/>
    <w:rsid w:val="008E0B32"/>
    <w:rsid w:val="008E64BD"/>
    <w:rsid w:val="008E6CF1"/>
    <w:rsid w:val="008F2C97"/>
    <w:rsid w:val="008F402D"/>
    <w:rsid w:val="008F515F"/>
    <w:rsid w:val="009200D2"/>
    <w:rsid w:val="00920C9E"/>
    <w:rsid w:val="0092707F"/>
    <w:rsid w:val="00933BCC"/>
    <w:rsid w:val="009409AD"/>
    <w:rsid w:val="00943C2E"/>
    <w:rsid w:val="00944A8E"/>
    <w:rsid w:val="00952248"/>
    <w:rsid w:val="0095274A"/>
    <w:rsid w:val="00957FDB"/>
    <w:rsid w:val="00961E4A"/>
    <w:rsid w:val="009647E6"/>
    <w:rsid w:val="0096601E"/>
    <w:rsid w:val="00975344"/>
    <w:rsid w:val="00984FCF"/>
    <w:rsid w:val="00986E2B"/>
    <w:rsid w:val="009875BB"/>
    <w:rsid w:val="009A3A2A"/>
    <w:rsid w:val="009A4D8D"/>
    <w:rsid w:val="009C17FC"/>
    <w:rsid w:val="009C4EDB"/>
    <w:rsid w:val="009D016A"/>
    <w:rsid w:val="009D3DF0"/>
    <w:rsid w:val="009D6716"/>
    <w:rsid w:val="009E154F"/>
    <w:rsid w:val="009E291E"/>
    <w:rsid w:val="009E61F1"/>
    <w:rsid w:val="00A04D67"/>
    <w:rsid w:val="00A071FE"/>
    <w:rsid w:val="00A2029E"/>
    <w:rsid w:val="00A22180"/>
    <w:rsid w:val="00A33434"/>
    <w:rsid w:val="00A34AFB"/>
    <w:rsid w:val="00A35F0D"/>
    <w:rsid w:val="00A46567"/>
    <w:rsid w:val="00A52EF8"/>
    <w:rsid w:val="00A651B5"/>
    <w:rsid w:val="00A87087"/>
    <w:rsid w:val="00A87E21"/>
    <w:rsid w:val="00A92064"/>
    <w:rsid w:val="00A935C5"/>
    <w:rsid w:val="00A93B6E"/>
    <w:rsid w:val="00AA015B"/>
    <w:rsid w:val="00AA6E19"/>
    <w:rsid w:val="00AB4B97"/>
    <w:rsid w:val="00AB623E"/>
    <w:rsid w:val="00AC22C5"/>
    <w:rsid w:val="00AD026D"/>
    <w:rsid w:val="00AD3249"/>
    <w:rsid w:val="00AF5E19"/>
    <w:rsid w:val="00AF7EB9"/>
    <w:rsid w:val="00B02AE5"/>
    <w:rsid w:val="00B11745"/>
    <w:rsid w:val="00B12749"/>
    <w:rsid w:val="00B16703"/>
    <w:rsid w:val="00B26DD5"/>
    <w:rsid w:val="00B31E5C"/>
    <w:rsid w:val="00B35F64"/>
    <w:rsid w:val="00B40853"/>
    <w:rsid w:val="00B51990"/>
    <w:rsid w:val="00B52F61"/>
    <w:rsid w:val="00B5538E"/>
    <w:rsid w:val="00B555C7"/>
    <w:rsid w:val="00B66643"/>
    <w:rsid w:val="00B765E0"/>
    <w:rsid w:val="00B85C14"/>
    <w:rsid w:val="00B87C00"/>
    <w:rsid w:val="00B953D1"/>
    <w:rsid w:val="00BA195E"/>
    <w:rsid w:val="00BC0FF0"/>
    <w:rsid w:val="00BC3DEE"/>
    <w:rsid w:val="00BD1AAB"/>
    <w:rsid w:val="00BD5BAA"/>
    <w:rsid w:val="00BD72E1"/>
    <w:rsid w:val="00BE62F8"/>
    <w:rsid w:val="00BE77B3"/>
    <w:rsid w:val="00BF1FAE"/>
    <w:rsid w:val="00BF2E62"/>
    <w:rsid w:val="00C078EB"/>
    <w:rsid w:val="00C15DBF"/>
    <w:rsid w:val="00C16A72"/>
    <w:rsid w:val="00C16B06"/>
    <w:rsid w:val="00C17BCE"/>
    <w:rsid w:val="00C21691"/>
    <w:rsid w:val="00C247FD"/>
    <w:rsid w:val="00C307C9"/>
    <w:rsid w:val="00C35DD3"/>
    <w:rsid w:val="00C419C9"/>
    <w:rsid w:val="00C52C6C"/>
    <w:rsid w:val="00C55A11"/>
    <w:rsid w:val="00C67AA6"/>
    <w:rsid w:val="00C80B2F"/>
    <w:rsid w:val="00C83F64"/>
    <w:rsid w:val="00C87917"/>
    <w:rsid w:val="00C93CD4"/>
    <w:rsid w:val="00CA4048"/>
    <w:rsid w:val="00CA60E5"/>
    <w:rsid w:val="00CC1821"/>
    <w:rsid w:val="00CC63E2"/>
    <w:rsid w:val="00CC6A24"/>
    <w:rsid w:val="00CC6C47"/>
    <w:rsid w:val="00CC70E5"/>
    <w:rsid w:val="00CD3979"/>
    <w:rsid w:val="00CD60E5"/>
    <w:rsid w:val="00CD6F61"/>
    <w:rsid w:val="00CE45E8"/>
    <w:rsid w:val="00CF2568"/>
    <w:rsid w:val="00CF559C"/>
    <w:rsid w:val="00CF7FCD"/>
    <w:rsid w:val="00D015DC"/>
    <w:rsid w:val="00D021B0"/>
    <w:rsid w:val="00D058C9"/>
    <w:rsid w:val="00D06524"/>
    <w:rsid w:val="00D11BB7"/>
    <w:rsid w:val="00D24CA4"/>
    <w:rsid w:val="00D26217"/>
    <w:rsid w:val="00D3286B"/>
    <w:rsid w:val="00D40344"/>
    <w:rsid w:val="00D475BB"/>
    <w:rsid w:val="00D54979"/>
    <w:rsid w:val="00D573F0"/>
    <w:rsid w:val="00D61251"/>
    <w:rsid w:val="00D716C6"/>
    <w:rsid w:val="00D7228E"/>
    <w:rsid w:val="00D7368C"/>
    <w:rsid w:val="00D9016C"/>
    <w:rsid w:val="00D92ECF"/>
    <w:rsid w:val="00D94D86"/>
    <w:rsid w:val="00D9539F"/>
    <w:rsid w:val="00D960A2"/>
    <w:rsid w:val="00D973F6"/>
    <w:rsid w:val="00DA1C2C"/>
    <w:rsid w:val="00DA68C3"/>
    <w:rsid w:val="00DC301E"/>
    <w:rsid w:val="00DC3449"/>
    <w:rsid w:val="00DD34F1"/>
    <w:rsid w:val="00DD60C1"/>
    <w:rsid w:val="00DD6258"/>
    <w:rsid w:val="00DE09D2"/>
    <w:rsid w:val="00DE716D"/>
    <w:rsid w:val="00DF5391"/>
    <w:rsid w:val="00DF5494"/>
    <w:rsid w:val="00DF6313"/>
    <w:rsid w:val="00E001AA"/>
    <w:rsid w:val="00E126DE"/>
    <w:rsid w:val="00E137FE"/>
    <w:rsid w:val="00E31EFC"/>
    <w:rsid w:val="00E363DE"/>
    <w:rsid w:val="00E37ACD"/>
    <w:rsid w:val="00E4447A"/>
    <w:rsid w:val="00E46D40"/>
    <w:rsid w:val="00E527EF"/>
    <w:rsid w:val="00E55137"/>
    <w:rsid w:val="00E63107"/>
    <w:rsid w:val="00E660EE"/>
    <w:rsid w:val="00E73ADE"/>
    <w:rsid w:val="00E74355"/>
    <w:rsid w:val="00E74FAB"/>
    <w:rsid w:val="00E87F70"/>
    <w:rsid w:val="00E936B1"/>
    <w:rsid w:val="00E9559C"/>
    <w:rsid w:val="00E97461"/>
    <w:rsid w:val="00EA4AF8"/>
    <w:rsid w:val="00EB15FA"/>
    <w:rsid w:val="00EB2022"/>
    <w:rsid w:val="00EB31D4"/>
    <w:rsid w:val="00EB46DC"/>
    <w:rsid w:val="00EC06A7"/>
    <w:rsid w:val="00EC2066"/>
    <w:rsid w:val="00EC337A"/>
    <w:rsid w:val="00EC38B5"/>
    <w:rsid w:val="00EC52C9"/>
    <w:rsid w:val="00ED0851"/>
    <w:rsid w:val="00ED1328"/>
    <w:rsid w:val="00ED70D7"/>
    <w:rsid w:val="00ED7C33"/>
    <w:rsid w:val="00EE47F3"/>
    <w:rsid w:val="00EF11A2"/>
    <w:rsid w:val="00F00FFA"/>
    <w:rsid w:val="00F05DAA"/>
    <w:rsid w:val="00F11FEB"/>
    <w:rsid w:val="00F15AB7"/>
    <w:rsid w:val="00F16785"/>
    <w:rsid w:val="00F2237E"/>
    <w:rsid w:val="00F2335D"/>
    <w:rsid w:val="00F2732F"/>
    <w:rsid w:val="00F30181"/>
    <w:rsid w:val="00F32426"/>
    <w:rsid w:val="00F468D5"/>
    <w:rsid w:val="00F46D52"/>
    <w:rsid w:val="00F565EA"/>
    <w:rsid w:val="00F57027"/>
    <w:rsid w:val="00F657C0"/>
    <w:rsid w:val="00F71DB9"/>
    <w:rsid w:val="00FA0910"/>
    <w:rsid w:val="00FA0FB0"/>
    <w:rsid w:val="00FA50B9"/>
    <w:rsid w:val="00FB27DF"/>
    <w:rsid w:val="00FC12F8"/>
    <w:rsid w:val="00FC1FD9"/>
    <w:rsid w:val="00FD5E96"/>
    <w:rsid w:val="00FD6FB1"/>
    <w:rsid w:val="00FE2BAD"/>
    <w:rsid w:val="00FE34EA"/>
    <w:rsid w:val="00FE5A20"/>
    <w:rsid w:val="00FF25F6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62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D62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DD62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25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625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25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D625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fr-FR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6258"/>
    <w:rPr>
      <w:rFonts w:ascii="Arial" w:eastAsia="Times New Roman" w:hAnsi="Arial" w:cs="Times New Roman"/>
      <w:sz w:val="20"/>
      <w:szCs w:val="20"/>
      <w:lang w:val="es-ES_tradnl" w:eastAsia="fr-FR"/>
    </w:rPr>
  </w:style>
  <w:style w:type="paragraph" w:styleId="Zkladntext2">
    <w:name w:val="Body Text 2"/>
    <w:basedOn w:val="Normln"/>
    <w:link w:val="Zkladntext2Char"/>
    <w:uiPriority w:val="99"/>
    <w:rsid w:val="00DD625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D6258"/>
    <w:rPr>
      <w:rFonts w:ascii="Garamond" w:eastAsia="Times New Roman" w:hAnsi="Garamond" w:cs="Times New Roman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rsid w:val="00DD6258"/>
    <w:rPr>
      <w:rFonts w:cs="Times New Roman"/>
    </w:rPr>
  </w:style>
  <w:style w:type="character" w:styleId="Hypertextovodkaz">
    <w:name w:val="Hyperlink"/>
    <w:basedOn w:val="Standardnpsmoodstavce"/>
    <w:uiPriority w:val="99"/>
    <w:rsid w:val="00DD6258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basedOn w:val="Standardnpsmoodstavce"/>
    <w:link w:val="Textpoznpodarou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,ESPON Footnote No,Footnote Reference Number,Footnote symbol,Nota,Footnote number,de nota al pie,Ref,Char,SUPERS,Voetnootmarkering,Char1,fr,o,Re"/>
    <w:basedOn w:val="Standardnpsmoodstavce"/>
    <w:uiPriority w:val="99"/>
    <w:rsid w:val="00DD6258"/>
    <w:rPr>
      <w:vertAlign w:val="superscript"/>
    </w:rPr>
  </w:style>
  <w:style w:type="character" w:styleId="Sledovanodkaz">
    <w:name w:val="FollowedHyperlink"/>
    <w:basedOn w:val="Standardnpsmoodstavce"/>
    <w:uiPriority w:val="99"/>
    <w:rsid w:val="00DD6258"/>
    <w:rPr>
      <w:color w:val="800080"/>
      <w:u w:val="single"/>
    </w:rPr>
  </w:style>
  <w:style w:type="paragraph" w:styleId="Titulek">
    <w:name w:val="caption"/>
    <w:basedOn w:val="Normln"/>
    <w:next w:val="Normln"/>
    <w:uiPriority w:val="35"/>
    <w:qFormat/>
    <w:rsid w:val="00DD6258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D625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2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D6258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2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StylZarovnatdobloku1Za18b">
    <w:name w:val="Styl Styl Zarovnat do bloku1 + Za:  18 b.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DD6258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D625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6258"/>
    <w:rPr>
      <w:rFonts w:ascii="Consolas" w:eastAsia="Times New Roman" w:hAnsi="Consolas" w:cs="Times New Roman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rsid w:val="00DD6258"/>
    <w:pPr>
      <w:tabs>
        <w:tab w:val="left" w:pos="426"/>
        <w:tab w:val="right" w:leader="dot" w:pos="946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CharCharChar">
    <w:name w:val="Char Char1 Char Char Char"/>
    <w:basedOn w:val="Normln"/>
    <w:rsid w:val="00DD6258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D62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6258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Prukazkladntext">
    <w:name w:val="Příručka_základní text"/>
    <w:basedOn w:val="Normln"/>
    <w:link w:val="PrukazkladntextChar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ukazkladntextChar">
    <w:name w:val="Příručka_základní text Char"/>
    <w:link w:val="Prukazkladntext"/>
    <w:locked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uka-Nadpis1">
    <w:name w:val="Příručka - Nadpis 1"/>
    <w:basedOn w:val="Normln"/>
    <w:next w:val="Normln"/>
    <w:rsid w:val="00DD6258"/>
    <w:pPr>
      <w:keepNext/>
      <w:numPr>
        <w:numId w:val="15"/>
      </w:numPr>
      <w:spacing w:before="240" w:after="240" w:line="240" w:lineRule="auto"/>
      <w:outlineLvl w:val="0"/>
    </w:pPr>
    <w:rPr>
      <w:rFonts w:ascii="Tahoma" w:eastAsia="Times New Roman" w:hAnsi="Tahoma" w:cs="Times New Roman"/>
      <w:b/>
      <w:kern w:val="32"/>
      <w:sz w:val="40"/>
      <w:szCs w:val="20"/>
      <w:lang w:eastAsia="cs-CZ"/>
    </w:rPr>
  </w:style>
  <w:style w:type="paragraph" w:customStyle="1" w:styleId="Pruky-Nadpis2">
    <w:name w:val="Příručky - Nadpis 2"/>
    <w:basedOn w:val="Normln"/>
    <w:next w:val="Normln"/>
    <w:rsid w:val="00DD6258"/>
    <w:pPr>
      <w:keepNext/>
      <w:numPr>
        <w:ilvl w:val="1"/>
        <w:numId w:val="15"/>
      </w:numPr>
      <w:tabs>
        <w:tab w:val="left" w:pos="1134"/>
      </w:tabs>
      <w:spacing w:before="360" w:after="360" w:line="240" w:lineRule="auto"/>
      <w:outlineLvl w:val="1"/>
    </w:pPr>
    <w:rPr>
      <w:rFonts w:ascii="Tahoma" w:eastAsia="Times New Roman" w:hAnsi="Tahoma" w:cs="Times New Roman"/>
      <w:b/>
      <w:sz w:val="32"/>
      <w:szCs w:val="20"/>
      <w:lang w:eastAsia="cs-CZ"/>
    </w:rPr>
  </w:style>
  <w:style w:type="paragraph" w:customStyle="1" w:styleId="Pruky-Nadpis4">
    <w:name w:val="Příručky - Nadpis 4"/>
    <w:basedOn w:val="Normln"/>
    <w:rsid w:val="00DD6258"/>
    <w:pPr>
      <w:keepNext/>
      <w:numPr>
        <w:ilvl w:val="2"/>
        <w:numId w:val="15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sk-SK" w:eastAsia="cs-CZ"/>
    </w:rPr>
  </w:style>
  <w:style w:type="paragraph" w:customStyle="1" w:styleId="Pruky-Nadpis3">
    <w:name w:val="Příručky - Nadpis 3"/>
    <w:basedOn w:val="Normln"/>
    <w:next w:val="Normln"/>
    <w:rsid w:val="00DD6258"/>
    <w:pPr>
      <w:keepNext/>
      <w:tabs>
        <w:tab w:val="num" w:pos="1134"/>
      </w:tabs>
      <w:spacing w:before="240" w:after="240" w:line="240" w:lineRule="auto"/>
      <w:outlineLvl w:val="2"/>
    </w:pPr>
    <w:rPr>
      <w:rFonts w:ascii="Tahoma" w:eastAsia="Times New Roman" w:hAnsi="Tahoma" w:cs="Times New Roman"/>
      <w:b/>
      <w:i/>
      <w:sz w:val="24"/>
      <w:szCs w:val="24"/>
      <w:lang w:val="sk-SK" w:eastAsia="cs-CZ"/>
    </w:rPr>
  </w:style>
  <w:style w:type="paragraph" w:customStyle="1" w:styleId="Default">
    <w:name w:val="Default"/>
    <w:rsid w:val="00DD62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6258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D6258"/>
    <w:rPr>
      <w:rFonts w:eastAsia="Times New Roman" w:cs="Times New Roman"/>
    </w:rPr>
  </w:style>
  <w:style w:type="paragraph" w:customStyle="1" w:styleId="CharCharCharCharZchnZchnCharZchnZchn1CharZchnZchn">
    <w:name w:val="Char Char Char Char Zchn Zchn Char Zchn Zchn1 Char Zchn Zchn"/>
    <w:basedOn w:val="Normln"/>
    <w:rsid w:val="00DD62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uka-ZkladnstylChar">
    <w:name w:val="Příručka - Základní styl Char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606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606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B606B"/>
    <w:rPr>
      <w:vertAlign w:val="superscript"/>
    </w:rPr>
  </w:style>
  <w:style w:type="numbering" w:customStyle="1" w:styleId="Aufzhlung">
    <w:name w:val="Aufzählung"/>
    <w:uiPriority w:val="99"/>
    <w:rsid w:val="00056D7F"/>
    <w:pPr>
      <w:numPr>
        <w:numId w:val="49"/>
      </w:numPr>
    </w:pPr>
  </w:style>
  <w:style w:type="paragraph" w:customStyle="1" w:styleId="01AufzhlungEbene1">
    <w:name w:val="01 _ Aufzählung Ebene1"/>
    <w:basedOn w:val="Normln"/>
    <w:uiPriority w:val="5"/>
    <w:qFormat/>
    <w:rsid w:val="00056D7F"/>
    <w:pPr>
      <w:numPr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paragraph" w:customStyle="1" w:styleId="02AufzhlungEbene2">
    <w:name w:val="02 _ Aufzählung Ebene 2"/>
    <w:basedOn w:val="01AufzhlungEbene1"/>
    <w:uiPriority w:val="5"/>
    <w:qFormat/>
    <w:rsid w:val="00056D7F"/>
    <w:pPr>
      <w:numPr>
        <w:ilvl w:val="1"/>
      </w:numPr>
    </w:pPr>
  </w:style>
  <w:style w:type="paragraph" w:customStyle="1" w:styleId="03AufzhlungEbene3">
    <w:name w:val="03_Aufzählung Ebene 3"/>
    <w:basedOn w:val="Normln"/>
    <w:uiPriority w:val="5"/>
    <w:qFormat/>
    <w:rsid w:val="00056D7F"/>
    <w:pPr>
      <w:numPr>
        <w:ilvl w:val="2"/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character" w:customStyle="1" w:styleId="HervohebungMedium">
    <w:name w:val="Hervohebung _Medium"/>
    <w:basedOn w:val="Standardnpsmoodstavce"/>
    <w:uiPriority w:val="7"/>
    <w:qFormat/>
    <w:rsid w:val="00500EBC"/>
    <w:rPr>
      <w:rFonts w:ascii="Franklin Gothic Medium" w:hAnsi="Franklin Gothic Mediu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62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D62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DD62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25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625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25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D625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fr-FR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6258"/>
    <w:rPr>
      <w:rFonts w:ascii="Arial" w:eastAsia="Times New Roman" w:hAnsi="Arial" w:cs="Times New Roman"/>
      <w:sz w:val="20"/>
      <w:szCs w:val="20"/>
      <w:lang w:val="es-ES_tradnl" w:eastAsia="fr-FR"/>
    </w:rPr>
  </w:style>
  <w:style w:type="paragraph" w:styleId="Zkladntext2">
    <w:name w:val="Body Text 2"/>
    <w:basedOn w:val="Normln"/>
    <w:link w:val="Zkladntext2Char"/>
    <w:uiPriority w:val="99"/>
    <w:rsid w:val="00DD625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D6258"/>
    <w:rPr>
      <w:rFonts w:ascii="Garamond" w:eastAsia="Times New Roman" w:hAnsi="Garamond" w:cs="Times New Roman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rsid w:val="00DD6258"/>
    <w:rPr>
      <w:rFonts w:cs="Times New Roman"/>
    </w:rPr>
  </w:style>
  <w:style w:type="character" w:styleId="Hypertextovodkaz">
    <w:name w:val="Hyperlink"/>
    <w:basedOn w:val="Standardnpsmoodstavce"/>
    <w:uiPriority w:val="99"/>
    <w:rsid w:val="00DD6258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basedOn w:val="Standardnpsmoodstavce"/>
    <w:link w:val="Textpoznpodarou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,ESPON Footnote No,Footnote Reference Number,Footnote symbol,Nota,Footnote number,de nota al pie,Ref,Char,SUPERS,Voetnootmarkering,Char1,fr,o,Re"/>
    <w:basedOn w:val="Standardnpsmoodstavce"/>
    <w:uiPriority w:val="99"/>
    <w:rsid w:val="00DD6258"/>
    <w:rPr>
      <w:vertAlign w:val="superscript"/>
    </w:rPr>
  </w:style>
  <w:style w:type="character" w:styleId="Sledovanodkaz">
    <w:name w:val="FollowedHyperlink"/>
    <w:basedOn w:val="Standardnpsmoodstavce"/>
    <w:uiPriority w:val="99"/>
    <w:rsid w:val="00DD6258"/>
    <w:rPr>
      <w:color w:val="800080"/>
      <w:u w:val="single"/>
    </w:rPr>
  </w:style>
  <w:style w:type="paragraph" w:styleId="Titulek">
    <w:name w:val="caption"/>
    <w:basedOn w:val="Normln"/>
    <w:next w:val="Normln"/>
    <w:uiPriority w:val="35"/>
    <w:qFormat/>
    <w:rsid w:val="00DD6258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D625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2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D6258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2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StylZarovnatdobloku1Za18b">
    <w:name w:val="Styl Styl Zarovnat do bloku1 + Za:  18 b.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DD6258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D625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6258"/>
    <w:rPr>
      <w:rFonts w:ascii="Consolas" w:eastAsia="Times New Roman" w:hAnsi="Consolas" w:cs="Times New Roman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rsid w:val="00DD6258"/>
    <w:pPr>
      <w:tabs>
        <w:tab w:val="left" w:pos="426"/>
        <w:tab w:val="right" w:leader="dot" w:pos="946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CharCharChar">
    <w:name w:val="Char Char1 Char Char Char"/>
    <w:basedOn w:val="Normln"/>
    <w:rsid w:val="00DD6258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D62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6258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Prukazkladntext">
    <w:name w:val="Příručka_základní text"/>
    <w:basedOn w:val="Normln"/>
    <w:link w:val="PrukazkladntextChar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ukazkladntextChar">
    <w:name w:val="Příručka_základní text Char"/>
    <w:link w:val="Prukazkladntext"/>
    <w:locked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uka-Nadpis1">
    <w:name w:val="Příručka - Nadpis 1"/>
    <w:basedOn w:val="Normln"/>
    <w:next w:val="Normln"/>
    <w:rsid w:val="00DD6258"/>
    <w:pPr>
      <w:keepNext/>
      <w:numPr>
        <w:numId w:val="15"/>
      </w:numPr>
      <w:spacing w:before="240" w:after="240" w:line="240" w:lineRule="auto"/>
      <w:outlineLvl w:val="0"/>
    </w:pPr>
    <w:rPr>
      <w:rFonts w:ascii="Tahoma" w:eastAsia="Times New Roman" w:hAnsi="Tahoma" w:cs="Times New Roman"/>
      <w:b/>
      <w:kern w:val="32"/>
      <w:sz w:val="40"/>
      <w:szCs w:val="20"/>
      <w:lang w:eastAsia="cs-CZ"/>
    </w:rPr>
  </w:style>
  <w:style w:type="paragraph" w:customStyle="1" w:styleId="Pruky-Nadpis2">
    <w:name w:val="Příručky - Nadpis 2"/>
    <w:basedOn w:val="Normln"/>
    <w:next w:val="Normln"/>
    <w:rsid w:val="00DD6258"/>
    <w:pPr>
      <w:keepNext/>
      <w:numPr>
        <w:ilvl w:val="1"/>
        <w:numId w:val="15"/>
      </w:numPr>
      <w:tabs>
        <w:tab w:val="left" w:pos="1134"/>
      </w:tabs>
      <w:spacing w:before="360" w:after="360" w:line="240" w:lineRule="auto"/>
      <w:outlineLvl w:val="1"/>
    </w:pPr>
    <w:rPr>
      <w:rFonts w:ascii="Tahoma" w:eastAsia="Times New Roman" w:hAnsi="Tahoma" w:cs="Times New Roman"/>
      <w:b/>
      <w:sz w:val="32"/>
      <w:szCs w:val="20"/>
      <w:lang w:eastAsia="cs-CZ"/>
    </w:rPr>
  </w:style>
  <w:style w:type="paragraph" w:customStyle="1" w:styleId="Pruky-Nadpis4">
    <w:name w:val="Příručky - Nadpis 4"/>
    <w:basedOn w:val="Normln"/>
    <w:rsid w:val="00DD6258"/>
    <w:pPr>
      <w:keepNext/>
      <w:numPr>
        <w:ilvl w:val="2"/>
        <w:numId w:val="15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sk-SK" w:eastAsia="cs-CZ"/>
    </w:rPr>
  </w:style>
  <w:style w:type="paragraph" w:customStyle="1" w:styleId="Pruky-Nadpis3">
    <w:name w:val="Příručky - Nadpis 3"/>
    <w:basedOn w:val="Normln"/>
    <w:next w:val="Normln"/>
    <w:rsid w:val="00DD6258"/>
    <w:pPr>
      <w:keepNext/>
      <w:tabs>
        <w:tab w:val="num" w:pos="1134"/>
      </w:tabs>
      <w:spacing w:before="240" w:after="240" w:line="240" w:lineRule="auto"/>
      <w:outlineLvl w:val="2"/>
    </w:pPr>
    <w:rPr>
      <w:rFonts w:ascii="Tahoma" w:eastAsia="Times New Roman" w:hAnsi="Tahoma" w:cs="Times New Roman"/>
      <w:b/>
      <w:i/>
      <w:sz w:val="24"/>
      <w:szCs w:val="24"/>
      <w:lang w:val="sk-SK" w:eastAsia="cs-CZ"/>
    </w:rPr>
  </w:style>
  <w:style w:type="paragraph" w:customStyle="1" w:styleId="Default">
    <w:name w:val="Default"/>
    <w:rsid w:val="00DD62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6258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D6258"/>
    <w:rPr>
      <w:rFonts w:eastAsia="Times New Roman" w:cs="Times New Roman"/>
    </w:rPr>
  </w:style>
  <w:style w:type="paragraph" w:customStyle="1" w:styleId="CharCharCharCharZchnZchnCharZchnZchn1CharZchnZchn">
    <w:name w:val="Char Char Char Char Zchn Zchn Char Zchn Zchn1 Char Zchn Zchn"/>
    <w:basedOn w:val="Normln"/>
    <w:rsid w:val="00DD62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uka-ZkladnstylChar">
    <w:name w:val="Příručka - Základní styl Char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606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606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B606B"/>
    <w:rPr>
      <w:vertAlign w:val="superscript"/>
    </w:rPr>
  </w:style>
  <w:style w:type="numbering" w:customStyle="1" w:styleId="Aufzhlung">
    <w:name w:val="Aufzählung"/>
    <w:uiPriority w:val="99"/>
    <w:rsid w:val="00056D7F"/>
    <w:pPr>
      <w:numPr>
        <w:numId w:val="49"/>
      </w:numPr>
    </w:pPr>
  </w:style>
  <w:style w:type="paragraph" w:customStyle="1" w:styleId="01AufzhlungEbene1">
    <w:name w:val="01 _ Aufzählung Ebene1"/>
    <w:basedOn w:val="Normln"/>
    <w:uiPriority w:val="5"/>
    <w:qFormat/>
    <w:rsid w:val="00056D7F"/>
    <w:pPr>
      <w:numPr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paragraph" w:customStyle="1" w:styleId="02AufzhlungEbene2">
    <w:name w:val="02 _ Aufzählung Ebene 2"/>
    <w:basedOn w:val="01AufzhlungEbene1"/>
    <w:uiPriority w:val="5"/>
    <w:qFormat/>
    <w:rsid w:val="00056D7F"/>
    <w:pPr>
      <w:numPr>
        <w:ilvl w:val="1"/>
      </w:numPr>
    </w:pPr>
  </w:style>
  <w:style w:type="paragraph" w:customStyle="1" w:styleId="03AufzhlungEbene3">
    <w:name w:val="03_Aufzählung Ebene 3"/>
    <w:basedOn w:val="Normln"/>
    <w:uiPriority w:val="5"/>
    <w:qFormat/>
    <w:rsid w:val="00056D7F"/>
    <w:pPr>
      <w:numPr>
        <w:ilvl w:val="2"/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character" w:customStyle="1" w:styleId="HervohebungMedium">
    <w:name w:val="Hervohebung _Medium"/>
    <w:basedOn w:val="Standardnpsmoodstavce"/>
    <w:uiPriority w:val="7"/>
    <w:qFormat/>
    <w:rsid w:val="00500EBC"/>
    <w:rPr>
      <w:rFonts w:ascii="Franklin Gothic Medium" w:hAnsi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taceeu.cz/getmedia/7be05f88-01dc-46bc-96fd-fee5b45aac41/MP_zpusobile-vydaje-v4_cista.pdf?ext=.pdf" TargetMode="External"/><Relationship Id="rId18" Type="http://schemas.openxmlformats.org/officeDocument/2006/relationships/hyperlink" Target="http://www.interreg-danube.eu/relevant-documents/documents-for-project-implementation" TargetMode="External"/><Relationship Id="rId26" Type="http://schemas.openxmlformats.org/officeDocument/2006/relationships/hyperlink" Target="http://www.crr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reg-danube.eu/relevant-documents/documents-for-project-implementatio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terreg-danube.eu/relevant-documents/documents-for-project-implementation" TargetMode="External"/><Relationship Id="rId17" Type="http://schemas.openxmlformats.org/officeDocument/2006/relationships/hyperlink" Target="http://www.interreg-central.eu/Content.Node/apply/Document_Overview.html" TargetMode="External"/><Relationship Id="rId25" Type="http://schemas.openxmlformats.org/officeDocument/2006/relationships/hyperlink" Target="http://www.cr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reg-central.eu/Content.Node/implement/Implementation_Documents.html" TargetMode="External"/><Relationship Id="rId20" Type="http://schemas.openxmlformats.org/officeDocument/2006/relationships/hyperlink" Target="http://www.interreg-central.eu/Content.Node/implement/Implementation_Documents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reg-central.eu/Content.Node/apply/Document_Overview.html" TargetMode="External"/><Relationship Id="rId24" Type="http://schemas.openxmlformats.org/officeDocument/2006/relationships/hyperlink" Target="http://www.interreg-danube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terregeurope.eu/projects/project-development/" TargetMode="External"/><Relationship Id="rId23" Type="http://schemas.openxmlformats.org/officeDocument/2006/relationships/hyperlink" Target="http://www.interreg-central.e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nterreg-central.eu/Content.Node/implement/Implementation_Documents.html" TargetMode="External"/><Relationship Id="rId19" Type="http://schemas.openxmlformats.org/officeDocument/2006/relationships/hyperlink" Target="http://www.interregeurope.eu/about-us/logo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nterregeurope.eu/projects/project-development/" TargetMode="External"/><Relationship Id="rId14" Type="http://schemas.openxmlformats.org/officeDocument/2006/relationships/hyperlink" Target="http://www.dotaceeu.cz/getmedia/7be05f88-01dc-46bc-96fd-fee5b45aac41/MP_zpusobile-vydaje-v4_cista.pdf?ext=.pdf" TargetMode="External"/><Relationship Id="rId22" Type="http://schemas.openxmlformats.org/officeDocument/2006/relationships/hyperlink" Target="http://www.interregeurope.eu" TargetMode="External"/><Relationship Id="rId27" Type="http://schemas.openxmlformats.org/officeDocument/2006/relationships/hyperlink" Target="http://www.crr.cz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ms.interreg-central.eu/app/main?execution=e1s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B132-47A8-4912-BF48-D62708EB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9062</Words>
  <Characters>53470</Characters>
  <Application>Microsoft Office Word</Application>
  <DocSecurity>0</DocSecurity>
  <Lines>445</Lines>
  <Paragraphs>124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Pavel Lukeš</cp:lastModifiedBy>
  <cp:revision>4</cp:revision>
  <cp:lastPrinted>2016-03-24T07:18:00Z</cp:lastPrinted>
  <dcterms:created xsi:type="dcterms:W3CDTF">2016-11-03T14:04:00Z</dcterms:created>
  <dcterms:modified xsi:type="dcterms:W3CDTF">2016-11-03T14:20:00Z</dcterms:modified>
</cp:coreProperties>
</file>