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8" w:rsidRPr="00B10323" w:rsidRDefault="006C5576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Pokyny pro příjemce ke kontrole </w:t>
      </w:r>
    </w:p>
    <w:p w:rsidR="00DD6258" w:rsidRPr="00B10323" w:rsidRDefault="00DD6258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</w:p>
    <w:p w:rsidR="00DD6258" w:rsidRPr="00B10323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</w:p>
    <w:p w:rsidR="00DD6258" w:rsidRPr="00B10323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gramStart"/>
      <w:r w:rsidR="0086713F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006EC1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4</w:t>
      </w:r>
      <w:r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3286B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0D1943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</w:t>
      </w:r>
      <w:r w:rsidR="00D3286B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</w:t>
      </w:r>
      <w:r w:rsidR="00006EC1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května</w:t>
      </w:r>
      <w:proofErr w:type="gramEnd"/>
      <w:r w:rsidR="00006EC1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</w:t>
      </w:r>
      <w:r w:rsidR="000D1943" w:rsidRPr="00B1032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7</w:t>
      </w:r>
    </w:p>
    <w:p w:rsidR="00DD6258" w:rsidRPr="00B10323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B10323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B10323" w:rsidRDefault="00DD6258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TOC \h \z \t "Styl1;1" </w:instrTex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hyperlink w:anchor="_Toc445447258" w:history="1">
        <w:r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1.</w:t>
        </w:r>
        <w:r w:rsidRPr="00B10323">
          <w:rPr>
            <w:rFonts w:eastAsiaTheme="minorEastAsia" w:cs="Times New Roman"/>
            <w:noProof/>
            <w:lang w:eastAsia="cs-CZ"/>
          </w:rPr>
          <w:tab/>
        </w:r>
        <w:r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Úvod</w:t>
        </w:r>
        <w:r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_Toc445447258 \h </w:instrText>
        </w:r>
        <w:r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  <w:r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59" w:history="1">
        <w:r w:rsidR="00DD6258" w:rsidRPr="00B10323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2.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Předmět kontroly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_Toc445447259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5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0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Výběr dodavatele, zadávací a výběrová řízení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_Toc445447260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6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1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4.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Způsobilost výdajů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_Toc445447261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5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Publicita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_Toc445447285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15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6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6.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Postup předkládání zprávy o průběhu projektu a výdajů ke kontrole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_Toc445447286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18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7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7.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Účetnictví a povinnost archivace účetních dokladů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_Toc445447287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22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8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8.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Odvolání se proti výsledku kontroly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_Toc445447288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24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0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9.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příloh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_Toc445447290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24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B93E4D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1" w:history="1"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10.</w:t>
        </w:r>
        <w:r w:rsidR="00DD6258" w:rsidRPr="00B10323">
          <w:rPr>
            <w:rFonts w:eastAsiaTheme="minorEastAsia" w:cs="Times New Roman"/>
            <w:noProof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revizí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_Toc445447291 \h </w:instrTex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C167AB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25</w:t>
        </w:r>
        <w:r w:rsidR="00DD6258" w:rsidRPr="00B1032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 –  program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Nadnárodní spolupráce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:rsidR="00644F4C" w:rsidRPr="00B10323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:rsidR="00644F4C" w:rsidRPr="00B10323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4E6B" w:rsidRPr="00B10323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:rsidR="00733506" w:rsidRPr="00B10323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:rsidR="00E55137" w:rsidRPr="00B10323" w:rsidRDefault="00E55137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:rsidR="00004E6B" w:rsidRPr="00B10323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:rsidR="00733506" w:rsidRPr="00B10323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Toc445447258"/>
      <w:r w:rsidRPr="00B103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Úvod</w:t>
      </w:r>
      <w:bookmarkEnd w:id="0"/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kontroly Centrem je pro projektové (</w:t>
      </w:r>
      <w:proofErr w:type="gram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PP) i  vedoucí</w:t>
      </w:r>
      <w:proofErr w:type="gram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(LP) partnery bezplatné. Kontaktními místy </w:t>
      </w:r>
      <w:r w:rsidR="00837E80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 pro regionální rozvoj České republiky pro NUTS II Severovýchod se sídlem v Hradci Králové (pro partnery z Čech)</w:t>
      </w:r>
    </w:p>
    <w:p w:rsidR="004C0D52" w:rsidRPr="00B10323" w:rsidRDefault="004C0D52" w:rsidP="00532416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B10323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(pro partnery z Moravy a Slezska) </w:t>
      </w:r>
    </w:p>
    <w:p w:rsidR="00D7368C" w:rsidRPr="00B10323" w:rsidRDefault="00D7368C" w:rsidP="0020456C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B10323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jednotlivé poboč</w:t>
      </w:r>
      <w:r w:rsidR="003C398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ky a kontrolory jsou uvedeny v </w:t>
      </w:r>
      <w:r w:rsidR="00185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:rsidR="00DD6258" w:rsidRPr="00B10323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00170E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 </w:t>
      </w:r>
      <w:proofErr w:type="gramStart"/>
      <w:r w:rsidR="0000170E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tedy</w:t>
      </w:r>
      <w:r w:rsidR="00532416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</w:t>
      </w:r>
      <w:proofErr w:type="gramEnd"/>
      <w:r w:rsidR="0000170E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měsíčních cyklech.</w:t>
      </w:r>
      <w:r w:rsidR="0000170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periods</w:t>
      </w:r>
      <w:proofErr w:type="spellEnd"/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výdajů)</w:t>
      </w:r>
      <w:r w:rsidR="00837E8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proofErr w:type="spellStart"/>
        <w:r w:rsidR="00493276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B10323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proofErr w:type="spellStart"/>
        <w:r w:rsidR="006D434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C4578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</w:t>
      </w:r>
      <w:proofErr w:type="spellStart"/>
      <w:r w:rsidR="00D9539F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D9539F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B1032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platbu za celý projekt do 3 měsíců od konce každého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026D" w:rsidRPr="00B10323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26D" w:rsidRPr="00B10323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 do 2 měsíců od konce jednotlivého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2E7A1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E7A1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která může být v rámci lhůt uvedených výše doplněna o podklady od CZ partnerů.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Čeští partneři předkládají výdaje ke kontrole/certifikaci zpravidla za každé monitorovací období</w:t>
      </w:r>
      <w:r w:rsidR="006055A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6055A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tedy v 6-ti</w:t>
      </w:r>
      <w:proofErr w:type="gramEnd"/>
      <w:r w:rsidR="006055A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měsíčních cyklech,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(uvedená v 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za předpokladu, že </w:t>
      </w:r>
      <w:r w:rsidR="00CC6C4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:rsidR="00DD6258" w:rsidRPr="00B10323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DANUBE;</w:t>
      </w:r>
    </w:p>
    <w:p w:rsidR="00DD6258" w:rsidRPr="00B10323" w:rsidRDefault="00750B6F" w:rsidP="002045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EC38B5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kontrolor,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umožní partnerovi předložit </w:t>
      </w:r>
      <w:r w:rsidR="00A651B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finanční limity mají partneři povinnost předložit výdaje ke kontrole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není dotčena povinnost</w:t>
      </w:r>
      <w:r w:rsidR="00C35DD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partnerů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(Partner </w:t>
      </w:r>
      <w:proofErr w:type="spellStart"/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9E36D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část popisující aktivity</w:t>
      </w:r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každém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 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Toc425404950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1"/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</w:p>
    <w:p w:rsidR="00DD6258" w:rsidRPr="00B10323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:rsidR="00DD6258" w:rsidRPr="00B10323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:rsidR="00DD6258" w:rsidRPr="00B10323" w:rsidRDefault="00DD6258" w:rsidP="0020456C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regionální rozvoj, Evropském sociálním fondu, Fondu soudržnosti a Evropském námořním a rybářském fondu a o zrušení nařízení Rady (ES) č. 1083/2006 (dále také „obecné nařízení“);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:rsidR="00DD6258" w:rsidRPr="00B10323" w:rsidRDefault="00DD6258" w:rsidP="0020456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DD6258" w:rsidRPr="00B10323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:rsidR="00DD6258" w:rsidRPr="00B10323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:rsidR="00DD6258" w:rsidRPr="00B10323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E87F70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006E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006EC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Danube </w:t>
      </w:r>
      <w:proofErr w:type="spellStart"/>
      <w:r w:rsidR="00006EC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006EC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6EC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EC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D6258" w:rsidRPr="00B10323" w:rsidRDefault="00DD6258" w:rsidP="005B3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3" w:history="1">
        <w:r w:rsidR="00CF7FCD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http://www.dotaceeu.cz/getmedia/7be05f88-01dc-46bc-96fd-fee5b45aac41/MP_zpusobile-vydaje-v4_cista.pdf?ext=.pdf</w:t>
        </w:r>
      </w:hyperlink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DD6258" w:rsidRPr="00B10323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78E5" w:rsidRPr="00B10323" w:rsidRDefault="00E978E5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Náležitosti dokladování</w:t>
      </w:r>
      <w:r w:rsidR="00D853F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2" w:name="_Toc425404951"/>
      <w:r w:rsidRPr="00B103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2"/>
      <w:r w:rsidRPr="00B103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D6258" w:rsidRPr="00B10323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:rsidR="00DD6258" w:rsidRPr="00B10323" w:rsidRDefault="00DD6258" w:rsidP="0053241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:rsidR="00DD6258" w:rsidRPr="00B10323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:rsidR="00DD6258" w:rsidRPr="00B10323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Vnitrostátní právo (včetně institucionálního) a/nebo relevantní “pravidla”: vztahuje se jen na záležitosti, které nezahrnují pravidla stanovená ve výše uvedených programových pravidlech a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pravidlech EU. Jedná se především o ustanovení uvedených v těchto Pokynech, včetně jejich příloh a metodické pokyny vydané Národním orgánem pro koordinaci (dále jen „NOK“).</w:t>
      </w:r>
    </w:p>
    <w:p w:rsidR="00DD6258" w:rsidRPr="00B10323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6DA1" w:rsidRPr="00B10323" w:rsidRDefault="004F6DA1" w:rsidP="004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3" w:name="_Toc445447259"/>
      <w:r w:rsidRPr="00B1032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Předmět kontroly</w:t>
      </w:r>
      <w:bookmarkEnd w:id="3"/>
    </w:p>
    <w:p w:rsidR="00DD6258" w:rsidRPr="00B10323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D6258" w:rsidRPr="00B10323" w:rsidRDefault="00DD6258" w:rsidP="0020456C">
      <w:pPr>
        <w:keepNext/>
        <w:keepLines/>
        <w:numPr>
          <w:ilvl w:val="1"/>
          <w:numId w:val="32"/>
        </w:numPr>
        <w:spacing w:before="40" w:after="0" w:line="259" w:lineRule="auto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Předmětem kontroly je zejména: </w:t>
      </w:r>
    </w:p>
    <w:p w:rsidR="00DD6258" w:rsidRPr="00B10323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D6258" w:rsidRPr="00B10323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B1032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B1032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DD6258" w:rsidRPr="00B10323" w:rsidRDefault="00DD6258" w:rsidP="002045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</w:t>
      </w:r>
      <w:proofErr w:type="gramStart"/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30.9. 2016</w:t>
      </w:r>
      <w:proofErr w:type="gramEnd"/>
      <w:r w:rsidR="00222F2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 č. 137/2006 Sb., o veřejných zakázkách vyhlášené do 30.9. 2016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42A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05B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 1)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:rsidR="00DD6258" w:rsidRPr="00B10323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:rsidR="00DD6258" w:rsidRPr="00B10323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efektivnosti);</w:t>
      </w:r>
    </w:p>
    <w:p w:rsidR="00DD6258" w:rsidRPr="00B10323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uvedené v žádosti o projekt (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DD6258" w:rsidRPr="00B10323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proofErr w:type="gramStart"/>
      <w:r w:rsidR="0029695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:rsidR="00DD6258" w:rsidRPr="00B10323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spolufinancované produkty a služby byly dodány, a že výdaje, jež příjemce vykazuje, byly skutečně zaplaceny (dle dodacích listů, ukázek výstupů, prezenčních listin atd.).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:rsidR="00DD6258" w:rsidRPr="00B10323" w:rsidRDefault="00AB623E" w:rsidP="0020456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dodržení</w:t>
      </w:r>
      <w:r w:rsidR="00DD6258" w:rsidRPr="00B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B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B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B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:rsidR="00DD6258" w:rsidRPr="00B10323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:rsidR="00EC52C9" w:rsidRPr="00B10323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:rsidR="00DD6258" w:rsidRPr="00B10323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B10323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:rsidR="00DD6258" w:rsidRPr="00B10323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 označit originály účetních dokladů týkající se projektu:</w:t>
      </w:r>
    </w:p>
    <w:p w:rsidR="00DD6258" w:rsidRPr="00B10323" w:rsidRDefault="00DD6258" w:rsidP="00D7228E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razítkem s</w:t>
      </w:r>
      <w:r w:rsidR="004C0D5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:rsidR="00DD6258" w:rsidRPr="00B10323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:rsidR="00EC52C9" w:rsidRPr="00B10323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body platí současně – označení dokladů musí splňovat všechny tři náležitosti. Vazbou na projekt musí být označeny všechny originály dokladů (přičemž splnění tohoto požadavku bude kromě jiného předmětem 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:rsidR="00DD6258" w:rsidRPr="00B10323" w:rsidRDefault="00DD6258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:rsidR="00DD6258" w:rsidRPr="00B10323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musí být zneplatněny povinnou informací.</w:t>
      </w:r>
      <w:r w:rsidR="00287378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:rsidR="00DD6258" w:rsidRPr="00B10323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4" w:name="_Toc445447260"/>
      <w:r w:rsidRPr="00B103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Výběr dodavatele, zadávací a výběrová řízení</w:t>
      </w:r>
      <w:bookmarkEnd w:id="4"/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A3B" w:rsidRPr="00B10323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árodní legislativou a pravidly p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:rsidR="002E3A3B" w:rsidRPr="00B10323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přiměřenosti, rovného zacházení a zákazu diskriminace, princip hospodárnosti, efektivnosti a účelnosti).</w:t>
      </w:r>
    </w:p>
    <w:p w:rsidR="002E3A3B" w:rsidRPr="00B10323" w:rsidRDefault="002E3A3B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B10323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r w:rsidRPr="00B10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3.1. Aplikované předpisy a obecné zásady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56D7F" w:rsidRPr="00B10323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:rsidR="00056D7F" w:rsidRPr="00B10323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se zákonem č. 137/2006 Sb., o veřejných zakázkách v platném znění (v případě zakázek vyhlášených do </w:t>
      </w:r>
      <w:proofErr w:type="gramStart"/>
      <w:r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30.09.2016</w:t>
      </w:r>
      <w:proofErr w:type="gramEnd"/>
      <w:r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včetně), resp. se zákonem č. 134/2016 Sb., o zadávání veřejných zakázek, v platném znění (v případě zakázek vyhlášených od 01.10.2016</w:t>
      </w:r>
      <w:r w:rsidR="004F6DA1"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:rsidR="00056D7F" w:rsidRPr="00B10323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případě, veřejných zakázek, jejichž zadávání tento zákon neupravuje (zejména veřejné zakázky malého rozsahu) je partner povinen postupovat v souladu s Metodickým pokynem pro oblast zadávání zakázek pro programové období 2014-2020</w:t>
      </w:r>
      <w:r w:rsidR="00455E1A"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- </w:t>
      </w:r>
      <w:proofErr w:type="spellStart"/>
      <w:r w:rsidR="00455E1A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příloha</w:t>
      </w:r>
      <w:proofErr w:type="spellEnd"/>
      <w:r w:rsidR="00455E1A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č. 1</w:t>
      </w:r>
      <w:r w:rsidRPr="00B10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.</w:t>
      </w:r>
    </w:p>
    <w:p w:rsidR="00056D7F" w:rsidRPr="00B10323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056D7F" w:rsidRPr="00B10323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:rsidR="00DD6258" w:rsidRPr="00B10323" w:rsidRDefault="00056D7F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:rsidR="00200046" w:rsidRPr="00B10323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minimálně 3 nabídek, použitím e-tržiště, atd.). Nicméně, u jakékoliv zakázky bude v průběhu kontroly posuzována adekvátnost</w:t>
      </w:r>
      <w:r w:rsidR="003520B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:rsidR="00200046" w:rsidRPr="00B10323" w:rsidRDefault="00200046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předložit</w:t>
      </w:r>
      <w:r w:rsidR="00662BF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  <w:r w:rsidR="0063358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7B2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IE je třeba navíc předložit List </w:t>
      </w:r>
      <w:proofErr w:type="spellStart"/>
      <w:r w:rsidR="00A57B2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A57B2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7B2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A57B2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B10323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5" w:name="_Toc295893522"/>
      <w:r w:rsidRPr="00B1032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Hodnotící kritéria</w:t>
      </w:r>
      <w:bookmarkEnd w:id="5"/>
    </w:p>
    <w:p w:rsidR="002363D0" w:rsidRPr="00B10323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:rsidR="002363D0" w:rsidRPr="00B10323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:rsidR="002363D0" w:rsidRPr="00B10323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:rsidR="00DD6258" w:rsidRPr="00B10323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6" w:name="_Toc295893523"/>
      <w:r w:rsidRPr="00B1032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Posouzení zadávacích/výběrových řízení</w:t>
      </w:r>
      <w:r w:rsidRPr="00B1032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5"/>
      </w:r>
      <w:bookmarkEnd w:id="6"/>
    </w:p>
    <w:p w:rsidR="00DD6258" w:rsidRPr="00B10323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 všech zakázek, u kterých bude zadávací řízení vyhlášeno po podpisu Smlouvy o poskytnutí prostředků z ERDF (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mezi LP a PP a jejichž hodnota je 400 000 Kč bez DPH a vyšší, resp. 500 000 Kč bez DPH a vyšší v případě, že Partner </w:t>
      </w:r>
    </w:p>
    <w:p w:rsidR="00500EBC" w:rsidRPr="00B10323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B10323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není veřejným nebo sektorovým zadavatelem dle § 2 odst. 2 a 6 zákona č. 137/2006 Sb., o veřejných zakázkách a dotace poskytovaná na danou zakázku není vyšší než 50 %</w:t>
      </w:r>
      <w:r w:rsidRPr="00B1032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6"/>
      </w:r>
      <w:r w:rsidRPr="00B10323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:rsidR="00500EBC" w:rsidRPr="00B10323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B10323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 není zadavatelem dle § 4 zákona č. 134/2016 Sb., o veřejných zakázkách</w:t>
      </w:r>
      <w:r w:rsidRPr="00B1032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7"/>
      </w:r>
      <w:r w:rsidRPr="00B10323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Partner před vyhlášením zadávacího řízení povinen předložit svému kontrolorovi ke kontrole následující dokumenty (dokumenty stačí předložit v elektronické podobě): </w:t>
      </w:r>
    </w:p>
    <w:p w:rsidR="00500EBC" w:rsidRPr="00B10323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:rsidR="00500EBC" w:rsidRPr="00B10323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Zadávací řízení je možné vyhlásit až po obdržení souhlasného stanoviska Kontrolora a Partner je povinen při vyhlášení zadávacího řízení použít ty verze dokumentů, které byly posouzeny Kontrolorem.</w:t>
      </w:r>
    </w:p>
    <w:p w:rsidR="00DD6258" w:rsidRPr="00B10323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:rsidR="00500EBC" w:rsidRPr="00B10323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00EBC" w:rsidRPr="00B10323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vítěznou nabídku podanou uchazečem na základě oznámení o zahájení zadávacího řízení, resp. výzvy zadavatele nebo jiné informace či ceníky, z nichž vyplývá plnění nabízené uchazečem;</w:t>
      </w:r>
    </w:p>
    <w:p w:rsidR="00500EBC" w:rsidRPr="00B10323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:rsidR="00500EBC" w:rsidRPr="00B10323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:rsidR="00500EBC" w:rsidRPr="00B10323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:rsidR="00500EBC" w:rsidRPr="00B10323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Nad rámec těchto dokumentů Partner kontrolorovi dále předloží:</w:t>
      </w:r>
    </w:p>
    <w:p w:rsidR="00500EBC" w:rsidRPr="00B10323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nabídky, které byly v průběhu zadávacího řízení vyřazeny, pokud k vyřazení nějaké nabídky došlo;</w:t>
      </w:r>
    </w:p>
    <w:p w:rsidR="00500EBC" w:rsidRPr="00B10323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:rsidR="00500EBC" w:rsidRPr="00B10323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:rsidR="00500EBC" w:rsidRPr="00B10323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:rsidR="003A6EAB" w:rsidRPr="00B10323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výsledku zadávacího řízení zaslaný všem uchazečům, kteří podali nabídku v řádném termínu pro podání nabídek, vč. dokladů prokazujících jejich odeslání</w:t>
      </w:r>
      <w:r w:rsidR="003A6E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3A6EAB" w:rsidRPr="00B10323" w:rsidRDefault="003A6EAB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datovou zprávu s potvrzením o uveřejnění uzavřené smlouvy s vybraným dodavatelem v registru smluv v souladu se zákonem č. 340/2015 Sb., o zvláštních podmínkách účinnosti některých smluv a o registru smluv (zákon o registru smluv), pokud se na českého projektového partnera tato povinnost</w:t>
      </w:r>
      <w:r w:rsidR="00A45B1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</w:t>
      </w:r>
      <w:r w:rsidR="000D0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tahuje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§2 odst. 1 tohoto zákona.</w:t>
      </w:r>
    </w:p>
    <w:p w:rsidR="003A6EAB" w:rsidRPr="00B10323" w:rsidRDefault="003A6EAB" w:rsidP="00633580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partneři, kteří jsou právnickou osobou uvedenou v čl. 2 odst. 1 zákona o registru smluv, jsou povinni zveřejňovat v registru smluv soukromoprávní smlouvy, tj. i smlouvy uzavírané s dodavateli. Výjimkou jsou případy, kdy hodnota předmětu smlouvy je nižší než 50 000 Kč bez DPH.</w:t>
      </w:r>
    </w:p>
    <w:p w:rsidR="003A6EAB" w:rsidRPr="00B10323" w:rsidRDefault="003A6EAB" w:rsidP="00633580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zveřejnit smlouvu, tj. zaslat smlouvu správci registru smlouvu k uveřejnění, je do 30 dní od jejího uzavření. Smlouva, na kterou se vztahuje povinnost zveřejnění v registru smluv, nabývá v souladu s ustanovením §6 tohoto zákona účinnosti nejdříve dnem jejího zveřejnění. </w:t>
      </w:r>
    </w:p>
    <w:p w:rsidR="00A45B1E" w:rsidRPr="00B10323" w:rsidRDefault="003A6EAB" w:rsidP="00633580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Nebyla-li smlouva zveřejněna prostřednictvím registru smluv ani do 3 měsíců ode dne, kdy byla uzavřena, je podle ustanovení § 7</w:t>
      </w:r>
      <w:r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0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zákona smlouva zrušena od počátku. V takovém případě budou jakékoliv výdaje vynaložené v souvislosti s takovou smlouvou považovány za nezpůsobilé.</w:t>
      </w:r>
    </w:p>
    <w:p w:rsidR="00500EBC" w:rsidRPr="00B10323" w:rsidRDefault="00A45B1E" w:rsidP="00633580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je třeba zveřejňovat i objednávky s hodnotou nad 50 000 Kč bez DPH.     </w:t>
      </w:r>
      <w:r w:rsidR="003A6E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00EB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se netýká případů, kdy došlo k přímému nákupu bez zadávacího řízení (v případě, že to pravidla umožňují). V tomto případě budou kontrolovány pouze účetní doklady se zakázkou související.</w:t>
      </w:r>
    </w:p>
    <w:p w:rsidR="00500EBC" w:rsidRPr="00B10323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Dále se výše uvedené postupy netýkají zakázek, které jsou v projektu vykazovány pouze částečně, např. zadávací řízení na spotřební materiál, a to za splnění podmínky, že součet výdajů uplatňovaných v projektu nepřesáhne 400 000 Kč (v případě, že je dodavatelem plátce DPH, se jedná o částku bez DPH). 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:rsidR="00DD6258" w:rsidRPr="00B10323" w:rsidRDefault="00DD6258" w:rsidP="005324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7" w:name="_Toc220322043"/>
      <w:bookmarkStart w:id="8" w:name="_Toc220322510"/>
      <w:bookmarkStart w:id="9" w:name="_Toc220382201"/>
      <w:bookmarkStart w:id="10" w:name="_Toc220322044"/>
      <w:bookmarkStart w:id="11" w:name="_Toc220322511"/>
      <w:bookmarkStart w:id="12" w:name="_Toc220382202"/>
      <w:bookmarkStart w:id="13" w:name="_Toc445447261"/>
      <w:bookmarkEnd w:id="7"/>
      <w:bookmarkEnd w:id="8"/>
      <w:bookmarkEnd w:id="9"/>
      <w:bookmarkEnd w:id="10"/>
      <w:bookmarkEnd w:id="11"/>
      <w:bookmarkEnd w:id="12"/>
      <w:r w:rsidRPr="00B103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Způsobilost výdajů</w:t>
      </w:r>
      <w:bookmarkEnd w:id="13"/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4" w:name="_Toc445447262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14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5" w:name="_Toc445447263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EU) č. 1303/2013</w:t>
      </w:r>
      <w:bookmarkEnd w:id="15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6" w:name="_Toc445447264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1301/2013</w:t>
      </w:r>
      <w:bookmarkEnd w:id="16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_Toc445447265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1299/2013</w:t>
      </w:r>
      <w:bookmarkEnd w:id="17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8" w:name="_Toc445447266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481/2014</w:t>
      </w:r>
      <w:bookmarkEnd w:id="18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9" w:name="_Toc445447267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19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0" w:name="_Toc445447268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r w:rsidRPr="00B1032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na </w:t>
      </w:r>
      <w:hyperlink r:id="rId14" w:history="1">
        <w:r w:rsidR="00013912" w:rsidRPr="00B10323">
          <w:rPr>
            <w:rStyle w:val="Hypertextovodkaz"/>
            <w:rFonts w:ascii="Times New Roman" w:hAnsi="Times New Roman" w:cs="Times New Roman"/>
            <w:sz w:val="24"/>
          </w:rPr>
          <w:t>http://www.dotaceeu.cz/getmedia/7be05f88-01dc-46bc-96fd-fee5b45aac41/MP_zpusobile-vydaje-v4_cista.pdf?ext=.pdf</w:t>
        </w:r>
      </w:hyperlink>
      <w:r w:rsidR="00013912" w:rsidRPr="00B10323"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jsou pro české partnery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0"/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1" w:name="_Toc445447269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21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2" w:name="_Toc445447270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22"/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_Toc445447271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23"/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445447272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24"/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5" w:name="_Toc445447273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25"/>
    </w:p>
    <w:p w:rsidR="00DD6258" w:rsidRPr="00B10323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6" w:name="_Toc445447274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26"/>
    </w:p>
    <w:p w:rsidR="00DD6258" w:rsidRPr="00B10323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7" w:name="_Toc445447275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27"/>
    </w:p>
    <w:p w:rsidR="00DD6258" w:rsidRPr="00B10323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76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28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77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29"/>
    </w:p>
    <w:p w:rsidR="00DD6258" w:rsidRPr="00B10323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0" w:name="_Toc445447278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bookmarkEnd w:id="30"/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1" w:name="_Toc445447279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Vykazování jednotlivých typů výdajů je popsáno v programové dokumentaci uvedených programů (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31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2" w:name="_Toc445447280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32"/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81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33"/>
    </w:p>
    <w:p w:rsidR="008F402D" w:rsidRPr="00B10323" w:rsidRDefault="008F402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601" w:rsidRPr="00B10323" w:rsidRDefault="008F402D" w:rsidP="001206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</w:t>
      </w:r>
      <w:r w:rsidR="00BF2E6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</w:t>
      </w:r>
      <w:r w:rsidR="0012060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B10323">
        <w:rPr>
          <w:rFonts w:ascii="Times New Roman" w:hAnsi="Times New Roman" w:cs="Times New Roman"/>
          <w:iCs/>
        </w:rPr>
        <w:t xml:space="preserve">uvedené </w:t>
      </w:r>
      <w:proofErr w:type="gramStart"/>
      <w:r w:rsidR="00120601" w:rsidRPr="00B10323">
        <w:rPr>
          <w:rFonts w:ascii="Times New Roman" w:hAnsi="Times New Roman" w:cs="Times New Roman"/>
          <w:iCs/>
        </w:rPr>
        <w:t>na</w:t>
      </w:r>
      <w:proofErr w:type="gramEnd"/>
      <w:r w:rsidR="00120601" w:rsidRPr="00B10323">
        <w:rPr>
          <w:rFonts w:ascii="Times New Roman" w:hAnsi="Times New Roman" w:cs="Times New Roman"/>
          <w:iCs/>
          <w:color w:val="0000FF"/>
        </w:rPr>
        <w:t xml:space="preserve">: </w:t>
      </w:r>
      <w:hyperlink r:id="rId15" w:history="1">
        <w:r w:rsidR="00120601" w:rsidRPr="00B10323">
          <w:rPr>
            <w:rStyle w:val="Hypertextovodkaz"/>
            <w:rFonts w:ascii="Times New Roman" w:hAnsi="Times New Roman" w:cs="Times New Roman"/>
            <w:iCs/>
          </w:rPr>
          <w:t>http://www.crr.cz/cs/eus/mzdove-sazby-typovych-pozic/</w:t>
        </w:r>
      </w:hyperlink>
      <w:r w:rsidR="00120601" w:rsidRPr="00B10323">
        <w:rPr>
          <w:rFonts w:ascii="Times New Roman" w:hAnsi="Times New Roman" w:cs="Times New Roman"/>
          <w:iCs/>
        </w:rPr>
        <w:t>.</w:t>
      </w:r>
      <w:r w:rsidR="00120601" w:rsidRPr="00B10323">
        <w:rPr>
          <w:i/>
          <w:iCs/>
        </w:rPr>
        <w:t xml:space="preserve"> 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pro místní rozvoj může rozhodnout o případném zvýšení maximálních hodinových sazeb v závislosti na meziročním růstu průměrné nominální mzdy v ČR.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82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v případě delegování pracovníků pro projekt na část jejich úvazku, anebo v podobě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 (vykazování na základě skutečných výdajů nebo paušální sazbou)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3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4"/>
      <w:r w:rsidR="00BE62F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8C3" w:rsidRPr="00B10323" w:rsidRDefault="006D5EEC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Náklady na zaměstnance</w:t>
      </w:r>
      <w:r w:rsidR="00DA68C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jedním z těchto způsobů:</w:t>
      </w:r>
    </w:p>
    <w:p w:rsidR="0095274A" w:rsidRPr="00B10323" w:rsidRDefault="0095274A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851" w:rsidRPr="00B10323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B10323">
        <w:rPr>
          <w:rFonts w:ascii="Times New Roman" w:hAnsi="Times New Roman"/>
          <w:sz w:val="24"/>
          <w:szCs w:val="24"/>
          <w:lang w:eastAsia="cs-CZ"/>
        </w:rPr>
        <w:t>;</w:t>
      </w:r>
    </w:p>
    <w:p w:rsidR="00ED0851" w:rsidRPr="00B10323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B10323">
        <w:rPr>
          <w:rFonts w:ascii="Times New Roman" w:hAnsi="Times New Roman"/>
          <w:sz w:val="24"/>
          <w:szCs w:val="24"/>
          <w:lang w:eastAsia="cs-CZ"/>
        </w:rPr>
        <w:t>;</w:t>
      </w:r>
    </w:p>
    <w:p w:rsidR="00745A75" w:rsidRPr="00B10323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B10323">
        <w:rPr>
          <w:rFonts w:ascii="Times New Roman" w:hAnsi="Times New Roman"/>
          <w:sz w:val="24"/>
          <w:szCs w:val="24"/>
          <w:lang w:eastAsia="cs-CZ"/>
        </w:rPr>
        <w:t>s pružným počtem odpracovaných hodin za měsíc;</w:t>
      </w:r>
    </w:p>
    <w:p w:rsidR="00791022" w:rsidRPr="00B10323" w:rsidRDefault="0095274A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:rsidR="006D5EEC" w:rsidRPr="00B10323" w:rsidRDefault="00DA68C3" w:rsidP="002045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B1032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022" w:rsidRPr="00B10323" w:rsidRDefault="00791022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D60" w:rsidRPr="00B10323" w:rsidRDefault="007A7D60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:rsidR="00717D18" w:rsidRPr="00B10323" w:rsidRDefault="00717D1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zaměstnance pracujícího na plný úvazek (pracovní smlouva/dohoda apod.) musí vyplývat, že zaměstnanec provádí činnosti vztahující se výhradně k projektu.</w:t>
      </w:r>
      <w:r w:rsidR="000C0F6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</w:t>
      </w:r>
      <w:proofErr w:type="spellStart"/>
      <w:r w:rsidR="000C0F6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0C0F6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C0F6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0C0F6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025BD3"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4"/>
      </w:r>
      <w:r w:rsidR="000C0F6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17FC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D12" w:rsidRPr="00B10323" w:rsidRDefault="005C6D1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D12" w:rsidRPr="00B10323" w:rsidRDefault="002B3C5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B10323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 (případ b)</w:t>
      </w:r>
    </w:p>
    <w:p w:rsidR="002B3C5E" w:rsidRPr="00B10323" w:rsidRDefault="00E9746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B10323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B10323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B10323">
        <w:rPr>
          <w:rFonts w:ascii="Times New Roman" w:hAnsi="Times New Roman"/>
          <w:sz w:val="24"/>
          <w:szCs w:val="24"/>
          <w:lang w:eastAsia="cs-CZ"/>
        </w:rPr>
        <w:t>Zaměstnavatel se zaměstnancem</w:t>
      </w:r>
      <w:r w:rsidR="00B51990" w:rsidRPr="00B10323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 w:rsidRPr="00B10323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 w:rsidRPr="00B10323">
        <w:rPr>
          <w:rFonts w:ascii="Times New Roman" w:hAnsi="Times New Roman"/>
          <w:sz w:val="24"/>
          <w:szCs w:val="24"/>
          <w:lang w:eastAsia="cs-CZ"/>
        </w:rPr>
        <w:t>ní</w:t>
      </w:r>
      <w:r w:rsidR="0000154D" w:rsidRPr="00B10323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B10323">
        <w:rPr>
          <w:rFonts w:ascii="Times New Roman" w:hAnsi="Times New Roman"/>
          <w:sz w:val="24"/>
          <w:szCs w:val="24"/>
          <w:lang w:eastAsia="cs-CZ"/>
        </w:rPr>
        <w:t>, v němž bude jednoznačně stanoven procentní podíl pracovní doby odpracované na projektu.</w:t>
      </w:r>
      <w:r w:rsidR="006405D4" w:rsidRPr="00B1032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6405D4"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5"/>
      </w:r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6"/>
      </w:r>
      <w:r w:rsidR="006405D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 w:rsidRPr="00B1032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51990" w:rsidRPr="00B10323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1990" w:rsidRPr="00B10323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</w:p>
    <w:p w:rsidR="00D06524" w:rsidRPr="00B10323" w:rsidRDefault="00B5538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výkazy práce/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</w:t>
      </w:r>
      <w:proofErr w:type="spellStart"/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rozděleny odpracované hodiny i podle jednotlivých </w:t>
      </w:r>
      <w:proofErr w:type="spellStart"/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E74F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</w:t>
      </w:r>
      <w:proofErr w:type="spellStart"/>
      <w:r w:rsidR="00AC22C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AC22C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 w:rsidR="00E31EF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06524" w:rsidRPr="00B10323" w:rsidRDefault="00D065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A15" w:rsidRPr="00B10323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:rsidR="00512A15" w:rsidRPr="00B10323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691" w:rsidRPr="00B10323" w:rsidRDefault="00C21691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lastRenderedPageBreak/>
        <w:t>podílem měsíčních hrubých mzdových nákladů a měsíční pracovní doby stanovené v pracovní smlouvě (dokladu o zaměstnání) a vyjádřené v hodinách</w:t>
      </w:r>
      <w:r w:rsidR="006B606B" w:rsidRPr="00B10323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7"/>
      </w:r>
      <w:r w:rsidRPr="00B10323">
        <w:rPr>
          <w:rFonts w:ascii="Times New Roman" w:hAnsi="Times New Roman"/>
          <w:sz w:val="24"/>
          <w:szCs w:val="24"/>
          <w:lang w:eastAsia="cs-CZ"/>
        </w:rPr>
        <w:t>, nebo</w:t>
      </w:r>
    </w:p>
    <w:p w:rsidR="00DD6258" w:rsidRPr="00B10323" w:rsidRDefault="003930B3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B10323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C67AA6" w:rsidRPr="00B1032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264" w:rsidRPr="00B10323" w:rsidRDefault="00872264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:rsidR="00EF11A2" w:rsidRPr="00B10323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1A2" w:rsidRPr="00B10323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8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F11A2" w:rsidRPr="00B10323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9D2" w:rsidRPr="00B10323" w:rsidRDefault="00DE09D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:rsidR="00DE09D2" w:rsidRPr="00B10323" w:rsidRDefault="00DE09D2" w:rsidP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 doloženy, kromě pracovní smlouvy, také výkazy práce/</w:t>
      </w:r>
      <w:proofErr w:type="spellStart"/>
      <w:r w:rsidR="00FB27D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:rsidR="00ED7C33" w:rsidRPr="00B10323" w:rsidRDefault="00ED7C33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344" w:rsidRPr="00B10323" w:rsidRDefault="004302A6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</w:t>
      </w:r>
      <w:proofErr w:type="gramStart"/>
      <w:r w:rsidR="00CD60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až d) 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výdajů</w:t>
      </w:r>
      <w:r w:rsidR="00D403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D403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</w:t>
      </w:r>
      <w:proofErr w:type="spellStart"/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r w:rsidR="00D403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Tento dokument musí být podepsán zaměstnancem a jeho nadřízeným</w:t>
      </w:r>
      <w:r w:rsidR="00D4034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2A6" w:rsidRPr="00B10323" w:rsidRDefault="00BD72E1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B10323" w:rsidRDefault="00F57027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D7C33" w:rsidRPr="00B10323" w:rsidRDefault="006D153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7C33" w:rsidRPr="00B10323" w:rsidRDefault="00ED7C33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CD3979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 </w:t>
      </w:r>
      <w:r w:rsidR="008E0B32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</w:t>
      </w:r>
      <w:r w:rsidR="00DE796D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ech</w:t>
      </w:r>
      <w:r w:rsidR="008E0B32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dokladování</w:t>
      </w:r>
      <w:r w:rsidR="00DE796D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E796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(ke stažení </w:t>
      </w:r>
      <w:hyperlink r:id="rId16" w:history="1">
        <w:r w:rsidR="00DE796D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DE796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B10323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65EA" w:rsidRPr="00B10323" w:rsidRDefault="00F565EA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B10323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7" w:history="1"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B10323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B10323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8" w:history="1">
        <w:proofErr w:type="spellStart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" w:history="1">
        <w:proofErr w:type="spellStart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A071FE" w:rsidRPr="00B10323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B10323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0" w:history="1"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31EFC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E31EFC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31EFC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B10323" w:rsidRDefault="00A071FE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5" w:name="_Toc445447285"/>
      <w:r w:rsidRPr="00B103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Publicita</w:t>
      </w:r>
      <w:bookmarkEnd w:id="35"/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21" w:history="1"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:rsidR="00DD6258" w:rsidRPr="00B10323" w:rsidRDefault="00DD6258" w:rsidP="0020456C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:rsidR="00DD6258" w:rsidRPr="00B10323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2" w:history="1"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3" w:history="1"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  <w:r w:rsidR="007C2A20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DTP </w:t>
      </w:r>
      <w:proofErr w:type="spellStart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DTP </w:t>
      </w:r>
      <w:proofErr w:type="spellStart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webpage</w:t>
      </w:r>
      <w:proofErr w:type="spellEnd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User </w:t>
      </w:r>
      <w:proofErr w:type="spellStart"/>
      <w:r w:rsidR="007C2A20" w:rsidRPr="00B1032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</w:p>
    <w:p w:rsidR="0083743C" w:rsidRPr="00B10323" w:rsidRDefault="0083743C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B10323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B10323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C9E" w:rsidRPr="00B10323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D6258" w:rsidRPr="00B10323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:rsidR="00E46D40" w:rsidRPr="00B10323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4" w:history="1">
        <w:r w:rsidRPr="00B10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" w:history="1">
        <w:r w:rsidR="00920C9E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" w:history="1">
        <w:r w:rsidR="00920C9E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B10323">
        <w:rPr>
          <w:rFonts w:eastAsia="Times New Roman" w:cs="Times New Roman"/>
          <w:vertAlign w:val="superscript"/>
        </w:rPr>
        <w:footnoteReference w:id="19"/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F05DAA" w:rsidRPr="00B10323" w:rsidRDefault="00F05DAA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E46D40" w:rsidRPr="00B10323" w:rsidRDefault="00E46D40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B10323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garantuje splnění všech výše uvedených náležitostí (technické vlastnosti zobrazení znaku Unie je dáno čl. 4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821/2014 ). </w:t>
      </w:r>
    </w:p>
    <w:p w:rsidR="00DD6258" w:rsidRPr="00B10323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6D6F" w:rsidRPr="00B10323" w:rsidRDefault="00076D6F" w:rsidP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není v logu uveden odkaz na ERDF, protože program je financován z více fondů. V tomto případě je povinností příjemců uvést odkaz na konkrétní fond (ERDF) nebo alespoň odkaz „Project co-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funded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Union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funds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(ERDF, IPA, ENI)”. </w:t>
      </w:r>
    </w:p>
    <w:p w:rsidR="00076D6F" w:rsidRPr="00B10323" w:rsidRDefault="00076D6F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D7228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:rsidR="00DD6258" w:rsidRPr="00B10323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0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6D40" w:rsidRPr="00B10323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:rsidR="00E46D40" w:rsidRPr="00B10323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Arial" w:eastAsia="Times New Roman" w:hAnsi="Arial" w:cs="Arial"/>
          <w:color w:val="000000"/>
          <w:sz w:val="16"/>
          <w:szCs w:val="16"/>
          <w:lang w:eastAsia="cs-CZ"/>
        </w:rPr>
        <w:lastRenderedPageBreak/>
        <w:t xml:space="preserve">- 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EU vč. odkazu na Evropskou unii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odkazu na ERDF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1"/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programu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dodrženy grafické standardy a pravidla pro barevné provedení loga, </w:t>
      </w:r>
      <w:r w:rsidR="00765901"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používání fontů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písma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nejsou dodržena pravidla pro umístění loga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dodržena pravidla týkající se velikosti loga a v případě dočasných billboardů a trvalých pamětních desek podílu plochy, které mají informace o projektu vč. loga zaujímat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B1032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2"/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5 %,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(nesplňuje všechny náležitosti uvedené v čl. 2.2, Přílohy XII Nařízení (EU) č. 1303/2013 – způsobilé výdaje se krátí ve výši 3 %,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(nesplňuje náležitosti uvedené v čl. 4 </w:t>
      </w:r>
      <w:proofErr w:type="gramStart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b) sankce v případě nedodržení publicity u konkrétního 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úplně chybí – způsobilé výdaje se krátí ve výši 50 %,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25 %,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100 %,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50 %, 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B10323" w:rsidRDefault="00DD6258" w:rsidP="00532416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B10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:rsidR="00DD6258" w:rsidRPr="00B10323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6" w:name="_Toc445447286"/>
      <w:r w:rsidRPr="00B103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Postup předkládání zprávy o průběhu projektu a výdajů ke kontrole</w:t>
      </w:r>
      <w:bookmarkEnd w:id="36"/>
    </w:p>
    <w:p w:rsidR="00DD6258" w:rsidRPr="00B10323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B1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B1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</w:t>
      </w:r>
      <w:r w:rsidR="000940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0940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940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940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0940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3283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:rsidR="00DD6258" w:rsidRPr="00B10323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:rsidR="00DD6258" w:rsidRPr="00B10323" w:rsidRDefault="00DD6258" w:rsidP="0042467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Detailní rozpočet jednotlivého projektového partnera dle rozpočtových kapitol a u programu CENTRAL i dle WP, pokud nebyl předložen jako součást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FF7D9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3A2A" w:rsidRPr="00B10323" w:rsidRDefault="009A3A2A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B10323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:rsidR="00DD6258" w:rsidRPr="00B10323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B1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B1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 </w:t>
      </w: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B10323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třeba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 aktuální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verzi těchto dokumentů</w:t>
      </w:r>
      <w:r w:rsidR="00811EF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B10323" w:rsidRDefault="009A3A2A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B10323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1BB7" w:rsidRPr="00B10323" w:rsidRDefault="00863480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</w:t>
      </w:r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 i soupiska/List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List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3310D7"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3"/>
      </w:r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</w:t>
      </w:r>
      <w:r w:rsidR="00A57B2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vat s účelem a aktivitou uvedených</w:t>
      </w:r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Soupisce výdajů/List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Partner report projektu předkládá partner vždy za každé </w:t>
      </w:r>
      <w:proofErr w:type="spellStart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3310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11BB7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</w:t>
      </w:r>
      <w:r w:rsidR="006003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A1769" w:rsidRPr="00B1032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4"/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</w:t>
      </w:r>
      <w:r w:rsidR="006003F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Partner report projektu předkládá partner vždy za každé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výdaje.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80043" w:rsidRPr="00B10323" w:rsidRDefault="00280043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je třeba předložit zprávu o průběhu projektu/Partner report, jejíž součástí je i soupiska /List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</w:t>
      </w:r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korespondovat s účelem a aktivitou uvedené v Soupisce výdajů/List </w:t>
      </w:r>
      <w:proofErr w:type="spellStart"/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D6B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C664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report projektu předkládá partner vždy za každé </w:t>
      </w:r>
      <w:proofErr w:type="spellStart"/>
      <w:r w:rsidR="000C664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0C664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</w:t>
      </w:r>
      <w:r w:rsidR="00A023C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B10323" w:rsidRDefault="00DD6258" w:rsidP="0020456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B103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:rsidR="00A93188" w:rsidRPr="00B10323" w:rsidRDefault="009D671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IE </w:t>
      </w:r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soupiska výdajů/List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 -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A491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 w:rsidR="008A491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="00252399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52399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780935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soupiska výdajů/List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 Partner report prostřednictvím monitorovacího systému programu - </w:t>
      </w:r>
      <w:proofErr w:type="spellStart"/>
      <w:r w:rsidR="00852AC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23C5" w:rsidRPr="00B10323" w:rsidRDefault="00A023C5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program DANUBE je soupiska výdajů/List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 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programu. List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</w:t>
      </w:r>
      <w:r w:rsidR="00011EA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partner </w:t>
      </w:r>
      <w:r w:rsidR="0099220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jednom </w:t>
      </w:r>
      <w:proofErr w:type="spellStart"/>
      <w:r w:rsidR="0099220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99220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nepředkládá výdaje ke kontrole, má povinnost </w:t>
      </w:r>
      <w:r w:rsidR="00CD3D4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předložit </w:t>
      </w:r>
      <w:r w:rsidR="0099220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následujícím </w:t>
      </w:r>
      <w:proofErr w:type="spellStart"/>
      <w:r w:rsidR="0099220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CD3D4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8629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 aktuálním</w:t>
      </w:r>
      <w:r w:rsidR="00011EA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report a List </w:t>
      </w:r>
      <w:proofErr w:type="spellStart"/>
      <w:r w:rsidR="00011EA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11EA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1EA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80D7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D0B4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r w:rsidR="00E80D7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2x partner report + 2 x list </w:t>
      </w:r>
      <w:proofErr w:type="spellStart"/>
      <w:r w:rsidR="00E80D7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80D7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0D7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7D0B4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0D7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období zvlášť).</w:t>
      </w:r>
    </w:p>
    <w:p w:rsidR="00DD6258" w:rsidRPr="00B10323" w:rsidRDefault="006E04A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 roztříděné ve složce podle rozpočtových kapitol a opatřených razítkem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5"/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identifikací projektu. Partner předkládá doklady dle pokynů uveden</w:t>
      </w:r>
      <w:r w:rsidR="00E97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</w:t>
      </w:r>
      <w:r w:rsidR="00E97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dokladování</w:t>
      </w:r>
      <w:r w:rsidR="00E97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(ke stažení </w:t>
      </w:r>
      <w:hyperlink r:id="rId27" w:history="1">
        <w:r w:rsidR="00E978E5" w:rsidRPr="00B103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E97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2700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</w:t>
      </w:r>
      <w:r w:rsidR="00E97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</w:t>
      </w:r>
      <w:bookmarkStart w:id="37" w:name="_GoBack"/>
      <w:bookmarkEnd w:id="37"/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6"/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výdajů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:rsidR="00DD6258" w:rsidRPr="00B10323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:rsidR="00DD6258" w:rsidRPr="00B10323" w:rsidRDefault="00DD6258" w:rsidP="00B93E4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výdajů ke kontrole jsou uveřejněny Náležitosti dokladování na webových stránkách </w:t>
      </w:r>
      <w:r w:rsidR="00E978E5" w:rsidRPr="00B10323">
        <w:t>http://</w:t>
      </w:r>
      <w:proofErr w:type="gramStart"/>
      <w:r w:rsidR="00E978E5" w:rsidRPr="00B10323">
        <w:t>www</w:t>
      </w:r>
      <w:proofErr w:type="gramEnd"/>
      <w:r w:rsidR="00E978E5" w:rsidRPr="00B10323">
        <w:t>.</w:t>
      </w:r>
      <w:proofErr w:type="gramStart"/>
      <w:r w:rsidR="00E978E5" w:rsidRPr="00B10323">
        <w:t>crr</w:t>
      </w:r>
      <w:proofErr w:type="gramEnd"/>
      <w:r w:rsidR="00E978E5" w:rsidRPr="00B10323">
        <w:t>.cz/cs/eus/nalezitosti-dokladovani/</w:t>
      </w:r>
      <w:r w:rsidR="008F2C9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978E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podkladem pro vyhotovení Soupisky výdajů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kontaktovat/navštívit místně příslušného Kontrolora za účelem ověření dodržení postupů uvedených v Náležitostech dokladování a řádného vyplnění Soupisky výdajů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B10323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shodě kopií účetních dokladů a podpůrné dokumentace s originály těchto dokumentů</w:t>
      </w:r>
    </w:p>
    <w:p w:rsidR="00DD6258" w:rsidRPr="00B10323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:rsidR="00DD6258" w:rsidRPr="00B10323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B1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B1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:rsidR="00DD6258" w:rsidRPr="00B10323" w:rsidRDefault="00DD6258" w:rsidP="002045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DD6258" w:rsidRPr="00B10323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557E04" w:rsidP="00557E04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dokladování ).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</w:t>
      </w:r>
      <w:proofErr w:type="gramEnd"/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 na webových stránkách </w:t>
      </w:r>
      <w:hyperlink r:id="rId28" w:history="1">
        <w:r w:rsidR="00DD6258" w:rsidRPr="00B10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B10323" w:rsidRDefault="00DD6258" w:rsidP="0020456C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 tomto případě není nedostatek odstraněn, je výdaj odložen.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FFA" w:rsidRPr="00B10323" w:rsidRDefault="006B6B4B" w:rsidP="0020456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6E2FD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F1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:rsidR="00DD6258" w:rsidRPr="00B10323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provedení kontroly bude projektovému partnerovi příslušnou </w:t>
      </w:r>
      <w:r w:rsidR="006B0E3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pobočkou Centra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  </w:t>
      </w:r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</w:t>
      </w:r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Certifikátu dle příslušné programové dokumentace (např.</w:t>
      </w:r>
      <w:r w:rsidR="00F657C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IE „Independent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„Independent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 včetně kontrolního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checklistu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F71DB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 </w:t>
      </w:r>
      <w:proofErr w:type="gram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gram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„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-list“ a „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“) a včetně schválené průběžné zprávy/</w:t>
      </w:r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report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sestavené Rekapitulace rozpočtu</w:t>
      </w:r>
      <w:r w:rsidR="00286C9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1202F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B1032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100% výdajů na </w:t>
      </w:r>
      <w:r w:rsidR="000907C3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r w:rsidR="001202F4" w:rsidRPr="00B10323">
        <w:t>http://www.crr.cz/cs/eus/nalezitosti-dokladovani/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B1032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B10323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B103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:rsidR="00DD6258" w:rsidRPr="00B10323" w:rsidRDefault="006762F9" w:rsidP="0020456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05E4" w:rsidRPr="00B10323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B10323" w:rsidRDefault="00D015DC" w:rsidP="00532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6258" w:rsidRPr="00B10323" w:rsidRDefault="00DD6258" w:rsidP="00532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D6258" w:rsidRPr="00B10323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31D4" w:rsidRPr="00B10323" w:rsidRDefault="005A05E4" w:rsidP="00532416">
      <w:pPr>
        <w:rPr>
          <w:sz w:val="24"/>
          <w:szCs w:val="20"/>
          <w:lang w:eastAsia="cs-CZ"/>
        </w:rPr>
      </w:pPr>
      <w:bookmarkStart w:id="38" w:name="_Toc221601315"/>
      <w:bookmarkStart w:id="39" w:name="_Toc221601316"/>
      <w:bookmarkStart w:id="40" w:name="_Toc221601317"/>
      <w:bookmarkStart w:id="41" w:name="_Toc221601318"/>
      <w:bookmarkStart w:id="42" w:name="_Toc445447287"/>
      <w:bookmarkEnd w:id="38"/>
      <w:bookmarkEnd w:id="39"/>
      <w:bookmarkEnd w:id="40"/>
      <w:bookmarkEnd w:id="41"/>
      <w:r w:rsidRPr="00B10323">
        <w:rPr>
          <w:rFonts w:ascii="Times New Roman" w:hAnsi="Times New Roman"/>
          <w:b/>
          <w:sz w:val="32"/>
          <w:szCs w:val="32"/>
          <w:lang w:val="pl-PL" w:eastAsia="cs-CZ"/>
        </w:rPr>
        <w:t xml:space="preserve">7. </w:t>
      </w:r>
      <w:r w:rsidR="00DD6258" w:rsidRPr="00B10323">
        <w:rPr>
          <w:rFonts w:ascii="Times New Roman" w:hAnsi="Times New Roman"/>
          <w:b/>
          <w:sz w:val="32"/>
          <w:szCs w:val="32"/>
          <w:lang w:val="pl-PL" w:eastAsia="cs-CZ"/>
        </w:rPr>
        <w:t>Účetnictví a povinnost archivace účetních dokladů</w:t>
      </w:r>
      <w:bookmarkEnd w:id="42"/>
    </w:p>
    <w:p w:rsidR="00EB31D4" w:rsidRPr="00B10323" w:rsidRDefault="00EB31D4" w:rsidP="0086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B31D4" w:rsidRPr="00B10323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se zákonem č. 563/1991 Sb., o účetnictví ve znění pozdějších předpisů v platném znění. </w:t>
      </w:r>
    </w:p>
    <w:p w:rsidR="00EB31D4" w:rsidRPr="00B10323" w:rsidRDefault="00EB31D4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B10323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B1032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27"/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. Každý partner je povinen z účetnictví poskytnout všem kontrolním orgánům požadované údaje související s projektem, a to nejpozději od data registrace projektu.</w:t>
      </w:r>
    </w:p>
    <w:p w:rsidR="00DD6258" w:rsidRPr="00B10323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:rsidR="00DD6258" w:rsidRPr="00B10323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:rsidR="00DD6258" w:rsidRPr="00B10323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lastRenderedPageBreak/>
        <w:t>předmětné doklady byly správné, úplné, průkazné, srozumitelné, vedené v písemné formě chronologicky a způsobem zajišťujícím trvanlivost údajů;</w:t>
      </w:r>
    </w:p>
    <w:p w:rsidR="00DD6258" w:rsidRPr="00B10323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10323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:rsidR="00DD6258" w:rsidRPr="00B10323" w:rsidRDefault="00DD6258" w:rsidP="0020456C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:rsidR="00DD6258" w:rsidRPr="00B10323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B10323" w:rsidRDefault="00664EB3" w:rsidP="00633580">
      <w:pPr>
        <w:pStyle w:val="Styl1"/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rPr>
          <w:lang w:val="pl-PL"/>
        </w:rPr>
      </w:pPr>
      <w:r w:rsidRPr="00B10323">
        <w:rPr>
          <w:rFonts w:eastAsiaTheme="minorHAnsi" w:cstheme="minorBidi"/>
          <w:lang w:val="pl-PL"/>
        </w:rPr>
        <w:t>Registr smluv</w:t>
      </w:r>
      <w:r w:rsidR="006F4447" w:rsidRPr="00B10323">
        <w:rPr>
          <w:rFonts w:eastAsiaTheme="minorHAnsi" w:cstheme="minorBidi"/>
          <w:lang w:val="pl-PL"/>
        </w:rPr>
        <w:t xml:space="preserve"> </w:t>
      </w:r>
    </w:p>
    <w:p w:rsidR="006F4447" w:rsidRPr="00B10323" w:rsidRDefault="006F4447" w:rsidP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447" w:rsidRPr="00B10323" w:rsidRDefault="006F4447" w:rsidP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Platí pouze pro české vedoucí partnery</w:t>
      </w:r>
      <w:r w:rsidRPr="00B10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F4447" w:rsidRPr="00B10323" w:rsidRDefault="006F4447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447" w:rsidRPr="00B10323" w:rsidRDefault="006F4447" w:rsidP="006F4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Příslušný</w:t>
      </w:r>
      <w:r w:rsidRPr="00B10323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28"/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 v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partner je po podpisu Smlouvy</w:t>
      </w:r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proofErr w:type="spellStart"/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 Řídicím orgánem povinen zveřejnit tuto Smlouvu v Registru smluv</w:t>
      </w:r>
      <w:r w:rsidRPr="00B10323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29"/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jenž je dle zákona č. 340/2015 Sb., o registru smluv podmínkou její účinnosti. Povinnost uveřejnění v registru smluv se týká také nových verzí příslušné Smlouvy. </w:t>
      </w:r>
    </w:p>
    <w:p w:rsidR="006F4447" w:rsidRPr="00B10323" w:rsidRDefault="006F4447" w:rsidP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Češ</w:t>
      </w:r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tí v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partneři, kteří jsou právnickou osobou uvedenou v § 2 odst. 1 zákona č. 340/2015 Sb., jsou povinni dle §5 odst. 2 tohoto zákona zaslat smlouvu správci registru smluv k uveřejnění prostřednictvím registru smluv bez zbytečného odkladu, nejpozději však do 30 dnů od uzavření smlouvy. Datovou zprávu s potvrzením o uveřejnění zaš</w:t>
      </w:r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le</w:t>
      </w:r>
      <w:r w:rsidR="000D08E5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český</w:t>
      </w:r>
      <w:r w:rsidR="006D6AFF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edoucí partner zpět </w:t>
      </w:r>
      <w:r w:rsidR="00645798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Národnímu koordinátoru programu 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="00645798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Ministerstvu pro místní rozvoj (</w:t>
      </w:r>
      <w:hyperlink r:id="rId29" w:history="1">
        <w:r w:rsidR="00645798" w:rsidRPr="00B10323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nadnarodni@mmr.cz</w:t>
        </w:r>
      </w:hyperlink>
      <w:r w:rsidR="00645798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</w:p>
    <w:p w:rsidR="000D1CBF" w:rsidRPr="00B10323" w:rsidRDefault="000D1CBF" w:rsidP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D1CBF" w:rsidRPr="00B10323" w:rsidRDefault="000D1CBF" w:rsidP="000D1CBF">
      <w:pPr>
        <w:pStyle w:val="Styl1"/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rPr>
          <w:rFonts w:eastAsiaTheme="minorHAnsi" w:cstheme="minorBidi"/>
          <w:lang w:val="pl-PL"/>
        </w:rPr>
      </w:pPr>
      <w:r w:rsidRPr="00B10323">
        <w:rPr>
          <w:rFonts w:eastAsiaTheme="minorHAnsi" w:cstheme="minorBidi"/>
          <w:lang w:val="pl-PL"/>
        </w:rPr>
        <w:t xml:space="preserve">Veřejná podpora (de minimis) </w:t>
      </w:r>
    </w:p>
    <w:p w:rsidR="000D1CBF" w:rsidRPr="00B10323" w:rsidRDefault="000D1CBF" w:rsidP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365A3" w:rsidRPr="00B10323" w:rsidRDefault="006736DF" w:rsidP="0067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rámci programu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Central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(implementace pilotních aktivit) mohou některé aktivity realizované v rámci projektu zavdávat nedovolenou veřejnou podporu. U všech projektů je již při jejich schvalování a následném uzavírání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uvedeno, které aktivity v rámci projektu mají znaky nedovolené veřejné podpory, a kterých projektových </w:t>
      </w:r>
      <w:r w:rsidR="00B365A3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partnerů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tato nedovolená veřejná podpora týká.</w:t>
      </w:r>
      <w:r w:rsidR="00B365A3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CE650A" w:rsidRPr="00B10323" w:rsidRDefault="00CE650A" w:rsidP="0067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37DA" w:rsidRPr="00B10323" w:rsidRDefault="00B365A3" w:rsidP="0067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programů se rozlišuje mezi dvěma typy veřejné podpory: </w:t>
      </w:r>
    </w:p>
    <w:p w:rsidR="00CE650A" w:rsidRPr="00B10323" w:rsidRDefault="00CE650A" w:rsidP="0067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672D" w:rsidRPr="00B10323" w:rsidRDefault="00FB37DA" w:rsidP="00633580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B10323">
        <w:rPr>
          <w:rFonts w:ascii="Times New Roman" w:hAnsi="Times New Roman"/>
          <w:sz w:val="24"/>
          <w:szCs w:val="20"/>
          <w:lang w:eastAsia="cs-CZ"/>
        </w:rPr>
        <w:t>Přímá veřejná podpora</w:t>
      </w:r>
    </w:p>
    <w:p w:rsidR="0030672D" w:rsidRPr="00B10323" w:rsidRDefault="00CE650A" w:rsidP="00633580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B10323">
        <w:rPr>
          <w:rFonts w:ascii="Times New Roman" w:hAnsi="Times New Roman"/>
          <w:sz w:val="24"/>
          <w:szCs w:val="20"/>
          <w:lang w:eastAsia="cs-CZ"/>
        </w:rPr>
        <w:lastRenderedPageBreak/>
        <w:t xml:space="preserve">Projektoví partneři jsou přímými příjemci veřejné podpory (příjemci 1. stupně) v rámci režimu de </w:t>
      </w:r>
      <w:proofErr w:type="spellStart"/>
      <w:r w:rsidRPr="00B10323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B10323">
        <w:rPr>
          <w:rFonts w:ascii="Times New Roman" w:hAnsi="Times New Roman"/>
          <w:sz w:val="24"/>
          <w:szCs w:val="20"/>
          <w:lang w:eastAsia="cs-CZ"/>
        </w:rPr>
        <w:t xml:space="preserve">. Veřejná podpora de </w:t>
      </w:r>
      <w:proofErr w:type="spellStart"/>
      <w:r w:rsidRPr="00B10323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B10323">
        <w:rPr>
          <w:rFonts w:ascii="Times New Roman" w:hAnsi="Times New Roman"/>
          <w:sz w:val="24"/>
          <w:szCs w:val="20"/>
          <w:lang w:eastAsia="cs-CZ"/>
        </w:rPr>
        <w:t xml:space="preserve"> je poskytována partnerů společným sekretariátem, který i výši této podpory monitoruje a eviduje. </w:t>
      </w:r>
    </w:p>
    <w:p w:rsidR="00CE650A" w:rsidRPr="00B10323" w:rsidRDefault="00CE650A" w:rsidP="00633580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30672D" w:rsidRPr="00B10323" w:rsidRDefault="0030672D" w:rsidP="00633580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B10323">
        <w:rPr>
          <w:rFonts w:ascii="Times New Roman" w:hAnsi="Times New Roman"/>
          <w:sz w:val="24"/>
          <w:szCs w:val="20"/>
          <w:lang w:eastAsia="cs-CZ"/>
        </w:rPr>
        <w:t>Nepřímá/přenesená veřejná podpora</w:t>
      </w:r>
    </w:p>
    <w:p w:rsidR="00007AE2" w:rsidRPr="00B10323" w:rsidRDefault="00007AE2" w:rsidP="00633580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B10323">
        <w:rPr>
          <w:rFonts w:ascii="Times New Roman" w:hAnsi="Times New Roman"/>
          <w:sz w:val="24"/>
          <w:szCs w:val="20"/>
          <w:lang w:eastAsia="cs-CZ"/>
        </w:rPr>
        <w:t>Jedná se o veřejnou podporu, kterou poskytuje projektový partner dalším subjektům a tím je zvýhodňuje oproti ostatním subjektům na trhu (přenesená veřejná podpora/ podpora 2. stupně). Typickým příkladem je organizace školení, seminářů pro vybranou skupinu subjektů. V tomto případě je povinností projektového partnera evidovat/registrovat</w:t>
      </w:r>
      <w:r w:rsidR="00C353A4" w:rsidRPr="00B10323">
        <w:rPr>
          <w:rFonts w:ascii="Times New Roman" w:hAnsi="Times New Roman"/>
          <w:sz w:val="24"/>
          <w:szCs w:val="20"/>
          <w:lang w:eastAsia="cs-CZ"/>
        </w:rPr>
        <w:t xml:space="preserve"> poskytnut</w:t>
      </w:r>
      <w:r w:rsidRPr="00B10323">
        <w:rPr>
          <w:rFonts w:ascii="Times New Roman" w:hAnsi="Times New Roman"/>
          <w:sz w:val="24"/>
          <w:szCs w:val="20"/>
          <w:lang w:eastAsia="cs-CZ"/>
        </w:rPr>
        <w:t>ou nepřímou veřejnou podporu</w:t>
      </w:r>
      <w:r w:rsidR="00C353A4" w:rsidRPr="00B10323">
        <w:rPr>
          <w:rFonts w:ascii="Times New Roman" w:hAnsi="Times New Roman"/>
          <w:sz w:val="24"/>
          <w:szCs w:val="20"/>
          <w:lang w:eastAsia="cs-CZ"/>
        </w:rPr>
        <w:t xml:space="preserve"> v registru de </w:t>
      </w:r>
      <w:proofErr w:type="spellStart"/>
      <w:r w:rsidR="00C353A4" w:rsidRPr="00B10323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B10323">
        <w:rPr>
          <w:rFonts w:ascii="Times New Roman" w:hAnsi="Times New Roman"/>
          <w:sz w:val="24"/>
          <w:szCs w:val="20"/>
          <w:lang w:eastAsia="cs-CZ"/>
        </w:rPr>
        <w:t>.</w:t>
      </w:r>
    </w:p>
    <w:p w:rsidR="00007AE2" w:rsidRPr="00B10323" w:rsidRDefault="00007AE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CE650A" w:rsidRPr="00B10323" w:rsidRDefault="00FA178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B10323">
        <w:rPr>
          <w:rFonts w:ascii="Times New Roman" w:hAnsi="Times New Roman"/>
          <w:sz w:val="24"/>
          <w:szCs w:val="20"/>
          <w:lang w:eastAsia="cs-CZ"/>
        </w:rPr>
        <w:t xml:space="preserve">Více informací naleznete v příloze č. 10. </w:t>
      </w:r>
      <w:r w:rsidR="00007AE2" w:rsidRPr="00B10323">
        <w:rPr>
          <w:rFonts w:ascii="Times New Roman" w:hAnsi="Times New Roman"/>
          <w:sz w:val="24"/>
          <w:szCs w:val="20"/>
          <w:lang w:eastAsia="cs-CZ"/>
        </w:rPr>
        <w:t xml:space="preserve">    </w:t>
      </w:r>
    </w:p>
    <w:p w:rsidR="006736DF" w:rsidRPr="00B10323" w:rsidRDefault="006736DF" w:rsidP="00633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cs-CZ"/>
        </w:rPr>
      </w:pPr>
      <w:r w:rsidRPr="00B10323">
        <w:rPr>
          <w:rFonts w:ascii="Times New Roman" w:hAnsi="Times New Roman"/>
          <w:sz w:val="24"/>
          <w:szCs w:val="20"/>
          <w:lang w:eastAsia="cs-CZ"/>
        </w:rPr>
        <w:t xml:space="preserve">  </w:t>
      </w:r>
    </w:p>
    <w:p w:rsidR="006F4447" w:rsidRPr="00B10323" w:rsidRDefault="006F4447" w:rsidP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B10323" w:rsidRDefault="00DD6258" w:rsidP="00532416">
      <w:pPr>
        <w:pStyle w:val="Styl1"/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rPr>
          <w:rFonts w:eastAsiaTheme="minorHAnsi" w:cstheme="minorBidi"/>
          <w:lang w:val="pl-PL"/>
        </w:rPr>
      </w:pPr>
      <w:bookmarkStart w:id="43" w:name="_Toc221601320"/>
      <w:bookmarkStart w:id="44" w:name="_Toc221601321"/>
      <w:bookmarkStart w:id="45" w:name="_Toc220322049"/>
      <w:bookmarkStart w:id="46" w:name="_Toc220322516"/>
      <w:bookmarkStart w:id="47" w:name="_Toc220382207"/>
      <w:bookmarkStart w:id="48" w:name="_Toc220322050"/>
      <w:bookmarkStart w:id="49" w:name="_Toc220322517"/>
      <w:bookmarkStart w:id="50" w:name="_Toc220382208"/>
      <w:bookmarkStart w:id="51" w:name="_Toc220322051"/>
      <w:bookmarkStart w:id="52" w:name="_Toc220322518"/>
      <w:bookmarkStart w:id="53" w:name="_Toc220382209"/>
      <w:bookmarkStart w:id="54" w:name="_Toc44544728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B10323">
        <w:rPr>
          <w:rFonts w:eastAsiaTheme="minorHAnsi" w:cstheme="minorBidi"/>
          <w:lang w:val="pl-PL"/>
        </w:rPr>
        <w:t>Odvolání se proti výsledku kontroly</w:t>
      </w:r>
      <w:bookmarkEnd w:id="54"/>
    </w:p>
    <w:p w:rsidR="00DD6258" w:rsidRPr="00B10323" w:rsidRDefault="00DD6258" w:rsidP="0020456C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Letenská 3</w:t>
      </w:r>
    </w:p>
    <w:p w:rsidR="00DD6258" w:rsidRPr="00B10323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1032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55" w:name="_Toc445447289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55"/>
      <w:r w:rsidRPr="00B103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B10323" w:rsidRDefault="00DD6258" w:rsidP="0063358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6" w:name="_Toc445447290"/>
      <w:r w:rsidRPr="00B10323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příloh</w:t>
      </w:r>
      <w:bookmarkEnd w:id="56"/>
    </w:p>
    <w:p w:rsidR="00DD6258" w:rsidRPr="00B10323" w:rsidRDefault="00DD6258" w:rsidP="00981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3 – Kontakty na kontrolory </w:t>
      </w:r>
    </w:p>
    <w:p w:rsidR="00DD6258" w:rsidRPr="00B10323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</w:p>
    <w:p w:rsidR="00A93B6E" w:rsidRPr="00B10323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</w:p>
    <w:p w:rsidR="00115A7E" w:rsidRPr="00B10323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</w:p>
    <w:p w:rsidR="0001266F" w:rsidRPr="00B10323" w:rsidRDefault="0001266F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10323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</w:p>
    <w:p w:rsidR="00DD6258" w:rsidRPr="00B10323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DD6258" w:rsidRPr="00B10323" w:rsidRDefault="00DD6258" w:rsidP="0063358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7" w:name="_Toc445447291"/>
      <w:r w:rsidRPr="00B10323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revizí</w:t>
      </w:r>
      <w:bookmarkEnd w:id="57"/>
    </w:p>
    <w:p w:rsidR="00DD6258" w:rsidRPr="00B10323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DD6258" w:rsidRPr="00B10323" w:rsidTr="006061FA">
        <w:trPr>
          <w:trHeight w:val="403"/>
        </w:trPr>
        <w:tc>
          <w:tcPr>
            <w:tcW w:w="1310" w:type="dxa"/>
          </w:tcPr>
          <w:p w:rsidR="00DD6258" w:rsidRPr="00B10323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609" w:type="dxa"/>
          </w:tcPr>
          <w:p w:rsidR="00DD6258" w:rsidRPr="00B10323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2056" w:type="dxa"/>
          </w:tcPr>
          <w:p w:rsidR="00DD6258" w:rsidRPr="00B10323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Kapitola</w:t>
            </w:r>
          </w:p>
        </w:tc>
      </w:tr>
      <w:tr w:rsidR="00DD6258" w:rsidRPr="00B10323" w:rsidTr="00644F4C">
        <w:tc>
          <w:tcPr>
            <w:tcW w:w="1310" w:type="dxa"/>
          </w:tcPr>
          <w:p w:rsidR="00DD6258" w:rsidRPr="00B10323" w:rsidRDefault="00E3658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609" w:type="dxa"/>
          </w:tcPr>
          <w:p w:rsidR="00DD6258" w:rsidRPr="00B10323" w:rsidRDefault="00633580" w:rsidP="0053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Doplněna část týkající se povinnosti uveřejňovat uzavřené smlouvy v registru smluv</w:t>
            </w:r>
          </w:p>
        </w:tc>
        <w:tc>
          <w:tcPr>
            <w:tcW w:w="2056" w:type="dxa"/>
          </w:tcPr>
          <w:p w:rsidR="00DD6258" w:rsidRPr="00B10323" w:rsidRDefault="00633580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3.3 C</w:t>
            </w:r>
          </w:p>
        </w:tc>
      </w:tr>
      <w:tr w:rsidR="00267CA6" w:rsidRPr="00B10323" w:rsidTr="00644F4C">
        <w:tc>
          <w:tcPr>
            <w:tcW w:w="1310" w:type="dxa"/>
          </w:tcPr>
          <w:p w:rsidR="00267CA6" w:rsidRPr="00B10323" w:rsidRDefault="0063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609" w:type="dxa"/>
          </w:tcPr>
          <w:p w:rsidR="00267CA6" w:rsidRPr="00B10323" w:rsidRDefault="0063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Pro program DANUBE </w:t>
            </w:r>
            <w:r w:rsidR="00A57B2D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blíže specifikována povinnost odkazu na fond v logu projektu</w:t>
            </w:r>
          </w:p>
        </w:tc>
        <w:tc>
          <w:tcPr>
            <w:tcW w:w="2056" w:type="dxa"/>
          </w:tcPr>
          <w:p w:rsidR="00267CA6" w:rsidRPr="00B10323" w:rsidRDefault="0063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A57B2D" w:rsidRPr="00B10323" w:rsidTr="00A57B2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D" w:rsidRPr="00B10323" w:rsidRDefault="00A57B2D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D" w:rsidRPr="00B10323" w:rsidRDefault="00A72EEB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Pro program IE se nově předkládá Partner report obsahující List of Expenditure a List of Contracts prostřednictvím monitorovacího systému programu iOLF.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D" w:rsidRPr="00B10323" w:rsidRDefault="00A57B2D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6B</w:t>
            </w:r>
          </w:p>
        </w:tc>
      </w:tr>
      <w:tr w:rsidR="00A57B2D" w:rsidRPr="00B10323" w:rsidTr="00A57B2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D" w:rsidRPr="00B10323" w:rsidRDefault="00A57B2D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D" w:rsidRPr="00B10323" w:rsidRDefault="00A93188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Pro program DANUBE</w:t>
            </w:r>
            <w:r w:rsidR="00C2148E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nově uvedena povinnost </w:t>
            </w:r>
            <w:r w:rsidR="00C2148E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lastRenderedPageBreak/>
              <w:t xml:space="preserve">předkládat Partner report, včetně List of Expenditure prostřednictvím monitorovacího systému programu.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D" w:rsidRPr="00B10323" w:rsidRDefault="00A72EEB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lastRenderedPageBreak/>
              <w:t>6B</w:t>
            </w:r>
          </w:p>
        </w:tc>
      </w:tr>
      <w:tr w:rsidR="00C2148E" w:rsidRPr="00B10323" w:rsidTr="00C2148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C2148E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lastRenderedPageBreak/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5C0327" w:rsidP="0024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V případě, že si příjemce u programu DANUBE nenárokuje vydaje v jednom monitorovacím období</w:t>
            </w:r>
            <w:r w:rsidR="00243F07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, má povinnost v následujícím monitorovacím období předložit partner report + List of expenditure za minulé a aktuální období zvlášť.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5C032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6B</w:t>
            </w:r>
          </w:p>
        </w:tc>
      </w:tr>
      <w:tr w:rsidR="00C2148E" w:rsidRPr="00B10323" w:rsidTr="00C2148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3C4AFE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0358D9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Doplněna kapitola k</w:t>
            </w:r>
            <w:r w:rsidR="00230F5E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registru smluv a</w:t>
            </w: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povinnosti vedoucích partnerů zveřejnit v registru smluv smlouvu (Subsidy contract)</w:t>
            </w:r>
            <w:r w:rsidR="009B066E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uzavřenou mezi</w:t>
            </w: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řídícím orgánem programu</w:t>
            </w:r>
            <w:r w:rsidR="009B066E"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a vedoucím partnerem.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3C4AFE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</w:tr>
      <w:tr w:rsidR="00C2148E" w:rsidRPr="00B10323" w:rsidTr="00C2148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0358D9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230F5E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kapitola k základní informaci k veřejné podpoře přímo do hlavního textu Pokynů. Dříve bylo pouze jako Příloha 10.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E" w:rsidRPr="00B10323" w:rsidRDefault="00230F5E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</w:tr>
      <w:tr w:rsidR="00230F5E" w:rsidRPr="00B10323" w:rsidTr="00230F5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230F5E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D17477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Odstraněna Příloha A Náležitosti dokladování. Nově jsou Náležitosti dokladování včetně příloh dostupné na: </w:t>
            </w:r>
            <w:hyperlink r:id="rId30" w:history="1">
              <w:r w:rsidRPr="00B10323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val="pl-PL" w:eastAsia="cs-CZ"/>
                </w:rPr>
                <w:t>http://www.crr.cz/cs/eus/nalezitosti-dokladovani/</w:t>
              </w:r>
            </w:hyperlink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D1747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11</w:t>
            </w:r>
          </w:p>
        </w:tc>
      </w:tr>
      <w:tr w:rsidR="00230F5E" w:rsidRPr="00B10323" w:rsidTr="00230F5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D1747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Příloha č. 7 Zpráva o průběhu projektu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</w:tr>
      <w:tr w:rsidR="00230F5E" w:rsidRPr="00B10323" w:rsidTr="00230F5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Příloha č. 8 Interreg Europe – List of Expenditure/List of Contracts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</w:tr>
      <w:tr w:rsidR="00230F5E" w:rsidRPr="00B10323" w:rsidTr="00230F5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Příloha č. 9 Central Partner Report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B10323" w:rsidRDefault="00C52FD7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</w:tr>
      <w:tr w:rsidR="00727002" w:rsidTr="0072700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2" w:rsidRPr="00B10323" w:rsidRDefault="00727002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2" w:rsidRPr="00B10323" w:rsidRDefault="00727002" w:rsidP="00B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Aktualizována Příloha č. 1 Metodický pokyn pro oblast zadávání veřejných zakázek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2" w:rsidRDefault="00727002" w:rsidP="00B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B1032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</w:tr>
    </w:tbl>
    <w:p w:rsidR="00802A64" w:rsidRDefault="00802A64" w:rsidP="0020456C"/>
    <w:sectPr w:rsidR="00802A64" w:rsidSect="00644F4C">
      <w:footerReference w:type="even" r:id="rId31"/>
      <w:footerReference w:type="default" r:id="rId32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80" w:rsidRDefault="00633580" w:rsidP="00DD6258">
      <w:pPr>
        <w:spacing w:after="0" w:line="240" w:lineRule="auto"/>
      </w:pPr>
      <w:r>
        <w:separator/>
      </w:r>
    </w:p>
  </w:endnote>
  <w:endnote w:type="continuationSeparator" w:id="0">
    <w:p w:rsidR="00633580" w:rsidRDefault="00633580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80" w:rsidRDefault="00633580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580" w:rsidRDefault="00633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80" w:rsidRDefault="00633580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3E4D">
      <w:rPr>
        <w:rStyle w:val="slostrnky"/>
        <w:noProof/>
      </w:rPr>
      <w:t>19</w:t>
    </w:r>
    <w:r>
      <w:rPr>
        <w:rStyle w:val="slostrnky"/>
      </w:rPr>
      <w:fldChar w:fldCharType="end"/>
    </w:r>
  </w:p>
  <w:p w:rsidR="00633580" w:rsidRDefault="00633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80" w:rsidRDefault="00633580" w:rsidP="00DD6258">
      <w:pPr>
        <w:spacing w:after="0" w:line="240" w:lineRule="auto"/>
      </w:pPr>
      <w:r>
        <w:separator/>
      </w:r>
    </w:p>
  </w:footnote>
  <w:footnote w:type="continuationSeparator" w:id="0">
    <w:p w:rsidR="00633580" w:rsidRDefault="00633580" w:rsidP="00DD6258">
      <w:pPr>
        <w:spacing w:after="0" w:line="240" w:lineRule="auto"/>
      </w:pPr>
      <w:r>
        <w:continuationSeparator/>
      </w:r>
    </w:p>
  </w:footnote>
  <w:footnote w:id="1">
    <w:p w:rsidR="00633580" w:rsidRDefault="00633580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:rsidR="00633580" w:rsidRDefault="00633580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Posouzením zadávacího/výběrového řízení nepřechází odpovědnost za to, že zadávací/výběrové řízení bude zadána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:rsidR="00633580" w:rsidRPr="00E2565B" w:rsidRDefault="00633580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do </w:t>
      </w:r>
      <w:proofErr w:type="gramStart"/>
      <w:r>
        <w:t>30.09.2016</w:t>
      </w:r>
      <w:proofErr w:type="gramEnd"/>
      <w:r>
        <w:t xml:space="preserve"> včetně.</w:t>
      </w:r>
    </w:p>
  </w:footnote>
  <w:footnote w:id="7">
    <w:p w:rsidR="00633580" w:rsidRPr="00E2565B" w:rsidRDefault="00633580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od </w:t>
      </w:r>
      <w:proofErr w:type="gramStart"/>
      <w:r>
        <w:t>01.10.2016</w:t>
      </w:r>
      <w:proofErr w:type="gramEnd"/>
      <w:r>
        <w:t>.</w:t>
      </w:r>
    </w:p>
  </w:footnote>
  <w:footnote w:id="8">
    <w:p w:rsidR="00633580" w:rsidRPr="00FA43EE" w:rsidRDefault="00633580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:rsidR="00633580" w:rsidRPr="00FA43EE" w:rsidRDefault="00633580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>artner v rámci zadávací dokumentace mimo jiné stanoví (a) fakturační podmínky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>a (b) v případě, kdy Partner nezajistí adekvátní publicitu vlastními silami i povinnost vybraného dodavatele zajistit projektu dostatečnou publicitu dle náležitostí uvedených v</w:t>
      </w:r>
      <w:r>
        <w:t> kapitole 5,</w:t>
      </w:r>
      <w:r w:rsidRPr="00FA43EE">
        <w:t xml:space="preserve"> veřejnost vhodným způsobem o tom, že projekt je spolufinancován z prostředků EU.</w:t>
      </w:r>
    </w:p>
  </w:footnote>
  <w:footnote w:id="10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Ustanovení §6 a 7 zákona č. 340/2016 Sb. platí pro smlouvy uzavřené </w:t>
      </w:r>
      <w:r w:rsidRPr="00633580">
        <w:t xml:space="preserve">od </w:t>
      </w:r>
      <w:proofErr w:type="gramStart"/>
      <w:r w:rsidRPr="00633580">
        <w:t>1.7.2017</w:t>
      </w:r>
      <w:proofErr w:type="gramEnd"/>
      <w:r>
        <w:rPr>
          <w:rFonts w:ascii="Trebuchet MS" w:hAnsi="Trebuchet MS" w:cs="Trebuchet MS"/>
        </w:rPr>
        <w:t xml:space="preserve"> </w:t>
      </w:r>
      <w:r>
        <w:t xml:space="preserve"> </w:t>
      </w:r>
    </w:p>
  </w:footnote>
  <w:footnote w:id="11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2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3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4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5">
    <w:p w:rsidR="00633580" w:rsidRDefault="00633580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6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17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18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19">
    <w:p w:rsidR="00633580" w:rsidRPr="0020456C" w:rsidRDefault="0063358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20">
    <w:p w:rsidR="00633580" w:rsidRDefault="00633580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1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2">
    <w:p w:rsidR="00633580" w:rsidRPr="00633580" w:rsidRDefault="00633580" w:rsidP="00DD625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F7D87">
        <w:rPr>
          <w:rStyle w:val="Znakapoznpodarou"/>
        </w:rPr>
        <w:footnoteRef/>
      </w:r>
      <w:r w:rsidRPr="00633580">
        <w:rPr>
          <w:rStyle w:val="Znakapoznpodarou"/>
        </w:rPr>
        <w:t xml:space="preserve"> 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 xml:space="preserve">Pokud nelze výdaje spojené s daným výstupem jednoznačně oddělit, uplatňuje se uvedená sankce v % na celkové způsobilé výdaje daného partnera. </w:t>
      </w:r>
    </w:p>
    <w:p w:rsidR="00633580" w:rsidRDefault="00633580" w:rsidP="00DD6258">
      <w:pPr>
        <w:pStyle w:val="Default"/>
      </w:pPr>
    </w:p>
  </w:footnote>
  <w:footnote w:id="23">
    <w:p w:rsidR="00633580" w:rsidRDefault="00633580" w:rsidP="003310D7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iOLF</w:t>
      </w:r>
      <w:proofErr w:type="spellEnd"/>
      <w:r>
        <w:t xml:space="preserve"> najdete na tomto odkazu: </w:t>
      </w:r>
      <w:hyperlink r:id="rId1" w:history="1">
        <w:r w:rsidRPr="009239E7">
          <w:rPr>
            <w:rStyle w:val="Hypertextovodkaz"/>
          </w:rPr>
          <w:t>https://www.iolf.eu/Account/Login?ReturnUrl=%2f</w:t>
        </w:r>
      </w:hyperlink>
      <w:r>
        <w:t xml:space="preserve"> </w:t>
      </w:r>
    </w:p>
  </w:footnote>
  <w:footnote w:id="24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najdete na tomto odkazu: </w:t>
      </w:r>
      <w:hyperlink r:id="rId2" w:history="1">
        <w:r w:rsidRPr="00D61F76">
          <w:rPr>
            <w:rStyle w:val="Hypertextovodkaz"/>
          </w:rPr>
          <w:t>https://ems.interreg-central.eu/app/main?execution=e1s1</w:t>
        </w:r>
      </w:hyperlink>
    </w:p>
  </w:footnote>
  <w:footnote w:id="25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Viz odrážka č. 2.2</w:t>
      </w:r>
    </w:p>
  </w:footnote>
  <w:footnote w:id="26">
    <w:p w:rsidR="00633580" w:rsidRDefault="00633580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27">
    <w:p w:rsidR="00633580" w:rsidRDefault="00633580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  <w:footnote w:id="28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Tato povinnost se vztahuje na všechny státní a veřejnoprávní instituce, územně samosprávné celky, státní podniky, právnické osoby, v nichž má většinovou majetkovou účast stát nebo územní samosprávný celek a další instituce definované § 2 odst. 1 zákona č. 340/2015 Sb. </w:t>
      </w:r>
      <w:r>
        <w:t xml:space="preserve"> </w:t>
      </w:r>
    </w:p>
  </w:footnote>
  <w:footnote w:id="29">
    <w:p w:rsidR="00633580" w:rsidRDefault="006335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https://smlouvy.gov.cz/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90BDF"/>
    <w:multiLevelType w:val="multilevel"/>
    <w:tmpl w:val="AB00AB56"/>
    <w:numStyleLink w:val="Aufzhlung"/>
  </w:abstractNum>
  <w:abstractNum w:abstractNumId="6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77EB"/>
    <w:multiLevelType w:val="multilevel"/>
    <w:tmpl w:val="90404EA4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3A37FC"/>
    <w:multiLevelType w:val="hybridMultilevel"/>
    <w:tmpl w:val="DC368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6208"/>
    <w:multiLevelType w:val="multilevel"/>
    <w:tmpl w:val="3F5C012C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DE6CE3"/>
    <w:multiLevelType w:val="multilevel"/>
    <w:tmpl w:val="97307F76"/>
    <w:lvl w:ilvl="0">
      <w:start w:val="7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763578A"/>
    <w:multiLevelType w:val="hybridMultilevel"/>
    <w:tmpl w:val="BC5EF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148CA"/>
    <w:multiLevelType w:val="hybridMultilevel"/>
    <w:tmpl w:val="7A8E1EBC"/>
    <w:lvl w:ilvl="0" w:tplc="070E0AAA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57673F"/>
    <w:multiLevelType w:val="hybridMultilevel"/>
    <w:tmpl w:val="30A200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1F3FE3"/>
    <w:multiLevelType w:val="hybridMultilevel"/>
    <w:tmpl w:val="356E2DA2"/>
    <w:lvl w:ilvl="0" w:tplc="C77C64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D1F6BA9"/>
    <w:multiLevelType w:val="hybridMultilevel"/>
    <w:tmpl w:val="A8289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45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A97611"/>
    <w:multiLevelType w:val="hybridMultilevel"/>
    <w:tmpl w:val="715E8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B150EF"/>
    <w:multiLevelType w:val="hybridMultilevel"/>
    <w:tmpl w:val="CC3C92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C0E3097"/>
    <w:multiLevelType w:val="multilevel"/>
    <w:tmpl w:val="FA486338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553FC4"/>
    <w:multiLevelType w:val="multilevel"/>
    <w:tmpl w:val="6C62778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55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9"/>
  </w:num>
  <w:num w:numId="4">
    <w:abstractNumId w:val="30"/>
  </w:num>
  <w:num w:numId="5">
    <w:abstractNumId w:val="34"/>
  </w:num>
  <w:num w:numId="6">
    <w:abstractNumId w:val="48"/>
  </w:num>
  <w:num w:numId="7">
    <w:abstractNumId w:val="15"/>
  </w:num>
  <w:num w:numId="8">
    <w:abstractNumId w:val="13"/>
  </w:num>
  <w:num w:numId="9">
    <w:abstractNumId w:val="26"/>
  </w:num>
  <w:num w:numId="10">
    <w:abstractNumId w:val="38"/>
  </w:num>
  <w:num w:numId="11">
    <w:abstractNumId w:val="10"/>
  </w:num>
  <w:num w:numId="12">
    <w:abstractNumId w:val="27"/>
  </w:num>
  <w:num w:numId="13">
    <w:abstractNumId w:val="4"/>
  </w:num>
  <w:num w:numId="14">
    <w:abstractNumId w:val="52"/>
  </w:num>
  <w:num w:numId="15">
    <w:abstractNumId w:val="44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  <w:num w:numId="21">
    <w:abstractNumId w:val="45"/>
  </w:num>
  <w:num w:numId="22">
    <w:abstractNumId w:val="42"/>
  </w:num>
  <w:num w:numId="23">
    <w:abstractNumId w:val="23"/>
  </w:num>
  <w:num w:numId="24">
    <w:abstractNumId w:val="20"/>
  </w:num>
  <w:num w:numId="25">
    <w:abstractNumId w:val="37"/>
  </w:num>
  <w:num w:numId="26">
    <w:abstractNumId w:val="40"/>
  </w:num>
  <w:num w:numId="27">
    <w:abstractNumId w:val="2"/>
  </w:num>
  <w:num w:numId="28">
    <w:abstractNumId w:val="9"/>
  </w:num>
  <w:num w:numId="29">
    <w:abstractNumId w:val="8"/>
  </w:num>
  <w:num w:numId="30">
    <w:abstractNumId w:val="41"/>
  </w:num>
  <w:num w:numId="31">
    <w:abstractNumId w:val="0"/>
  </w:num>
  <w:num w:numId="32">
    <w:abstractNumId w:val="54"/>
  </w:num>
  <w:num w:numId="33">
    <w:abstractNumId w:val="55"/>
  </w:num>
  <w:num w:numId="34">
    <w:abstractNumId w:val="29"/>
  </w:num>
  <w:num w:numId="35">
    <w:abstractNumId w:val="1"/>
  </w:num>
  <w:num w:numId="36">
    <w:abstractNumId w:val="33"/>
  </w:num>
  <w:num w:numId="37">
    <w:abstractNumId w:val="36"/>
  </w:num>
  <w:num w:numId="38">
    <w:abstractNumId w:val="53"/>
  </w:num>
  <w:num w:numId="39">
    <w:abstractNumId w:val="49"/>
  </w:num>
  <w:num w:numId="40">
    <w:abstractNumId w:val="31"/>
  </w:num>
  <w:num w:numId="41">
    <w:abstractNumId w:val="43"/>
  </w:num>
  <w:num w:numId="42">
    <w:abstractNumId w:val="25"/>
  </w:num>
  <w:num w:numId="43">
    <w:abstractNumId w:val="46"/>
  </w:num>
  <w:num w:numId="44">
    <w:abstractNumId w:val="47"/>
  </w:num>
  <w:num w:numId="45">
    <w:abstractNumId w:val="39"/>
  </w:num>
  <w:num w:numId="46">
    <w:abstractNumId w:val="32"/>
  </w:num>
  <w:num w:numId="47">
    <w:abstractNumId w:val="51"/>
  </w:num>
  <w:num w:numId="48">
    <w:abstractNumId w:val="12"/>
  </w:num>
  <w:num w:numId="49">
    <w:abstractNumId w:val="11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6"/>
  </w:num>
  <w:num w:numId="52">
    <w:abstractNumId w:val="50"/>
  </w:num>
  <w:num w:numId="53">
    <w:abstractNumId w:val="22"/>
  </w:num>
  <w:num w:numId="54">
    <w:abstractNumId w:val="21"/>
  </w:num>
  <w:num w:numId="55">
    <w:abstractNumId w:val="6"/>
  </w:num>
  <w:num w:numId="56">
    <w:abstractNumId w:val="15"/>
    <w:lvlOverride w:ilvl="0">
      <w:startOverride w:val="8"/>
    </w:lvlOverride>
  </w:num>
  <w:num w:numId="57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8"/>
    <w:rsid w:val="0000154D"/>
    <w:rsid w:val="0000170E"/>
    <w:rsid w:val="00002AF7"/>
    <w:rsid w:val="00004E6B"/>
    <w:rsid w:val="00006EC1"/>
    <w:rsid w:val="0000752E"/>
    <w:rsid w:val="00007AE2"/>
    <w:rsid w:val="00011164"/>
    <w:rsid w:val="00011EA5"/>
    <w:rsid w:val="0001266F"/>
    <w:rsid w:val="00013912"/>
    <w:rsid w:val="00016FD9"/>
    <w:rsid w:val="00024D55"/>
    <w:rsid w:val="00025BD3"/>
    <w:rsid w:val="000355EA"/>
    <w:rsid w:val="000358D9"/>
    <w:rsid w:val="000411F5"/>
    <w:rsid w:val="00047B2E"/>
    <w:rsid w:val="00056D7F"/>
    <w:rsid w:val="00060351"/>
    <w:rsid w:val="00076D6F"/>
    <w:rsid w:val="0008427B"/>
    <w:rsid w:val="000875BA"/>
    <w:rsid w:val="000907C3"/>
    <w:rsid w:val="000940F5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C6640"/>
    <w:rsid w:val="000D08E5"/>
    <w:rsid w:val="000D1943"/>
    <w:rsid w:val="000D1CBF"/>
    <w:rsid w:val="000E04DE"/>
    <w:rsid w:val="000E1231"/>
    <w:rsid w:val="00102894"/>
    <w:rsid w:val="00110B08"/>
    <w:rsid w:val="001126E3"/>
    <w:rsid w:val="00115A7E"/>
    <w:rsid w:val="00116B0B"/>
    <w:rsid w:val="001202F4"/>
    <w:rsid w:val="00120601"/>
    <w:rsid w:val="0012747A"/>
    <w:rsid w:val="00132837"/>
    <w:rsid w:val="00133BFE"/>
    <w:rsid w:val="001508F4"/>
    <w:rsid w:val="0015138F"/>
    <w:rsid w:val="001609AD"/>
    <w:rsid w:val="00163548"/>
    <w:rsid w:val="00163843"/>
    <w:rsid w:val="00163E0F"/>
    <w:rsid w:val="0016667E"/>
    <w:rsid w:val="00171683"/>
    <w:rsid w:val="00171DBD"/>
    <w:rsid w:val="00173265"/>
    <w:rsid w:val="00177D0E"/>
    <w:rsid w:val="0018560D"/>
    <w:rsid w:val="001936EF"/>
    <w:rsid w:val="001964D2"/>
    <w:rsid w:val="001A0892"/>
    <w:rsid w:val="001A1E8C"/>
    <w:rsid w:val="001B4C40"/>
    <w:rsid w:val="001C2B06"/>
    <w:rsid w:val="001D00A7"/>
    <w:rsid w:val="001D1D36"/>
    <w:rsid w:val="001F31E2"/>
    <w:rsid w:val="001F4A9E"/>
    <w:rsid w:val="00200046"/>
    <w:rsid w:val="0020456C"/>
    <w:rsid w:val="00207C87"/>
    <w:rsid w:val="00212CEF"/>
    <w:rsid w:val="0021461A"/>
    <w:rsid w:val="00222F2F"/>
    <w:rsid w:val="0022316B"/>
    <w:rsid w:val="0022696C"/>
    <w:rsid w:val="00230F5E"/>
    <w:rsid w:val="00234128"/>
    <w:rsid w:val="00234289"/>
    <w:rsid w:val="00234901"/>
    <w:rsid w:val="002363D0"/>
    <w:rsid w:val="00243544"/>
    <w:rsid w:val="00243F07"/>
    <w:rsid w:val="00252399"/>
    <w:rsid w:val="00260076"/>
    <w:rsid w:val="00264E2B"/>
    <w:rsid w:val="00265BB9"/>
    <w:rsid w:val="00267CA6"/>
    <w:rsid w:val="00274096"/>
    <w:rsid w:val="0027734F"/>
    <w:rsid w:val="0027765C"/>
    <w:rsid w:val="00280043"/>
    <w:rsid w:val="00285199"/>
    <w:rsid w:val="00286C98"/>
    <w:rsid w:val="00287378"/>
    <w:rsid w:val="0029227B"/>
    <w:rsid w:val="0029695C"/>
    <w:rsid w:val="002A26CA"/>
    <w:rsid w:val="002A7674"/>
    <w:rsid w:val="002B3C5E"/>
    <w:rsid w:val="002B6531"/>
    <w:rsid w:val="002B7293"/>
    <w:rsid w:val="002C453B"/>
    <w:rsid w:val="002C4578"/>
    <w:rsid w:val="002E3A3B"/>
    <w:rsid w:val="002E7A1F"/>
    <w:rsid w:val="002F6D60"/>
    <w:rsid w:val="00303EAC"/>
    <w:rsid w:val="0030672D"/>
    <w:rsid w:val="0031532C"/>
    <w:rsid w:val="00315D29"/>
    <w:rsid w:val="003217A0"/>
    <w:rsid w:val="003310D7"/>
    <w:rsid w:val="00332FC5"/>
    <w:rsid w:val="0033481E"/>
    <w:rsid w:val="003520BF"/>
    <w:rsid w:val="0035343C"/>
    <w:rsid w:val="003544EC"/>
    <w:rsid w:val="0035662C"/>
    <w:rsid w:val="00362421"/>
    <w:rsid w:val="00371138"/>
    <w:rsid w:val="003748E9"/>
    <w:rsid w:val="003820AB"/>
    <w:rsid w:val="00384D4E"/>
    <w:rsid w:val="0038544F"/>
    <w:rsid w:val="003913FB"/>
    <w:rsid w:val="003930B3"/>
    <w:rsid w:val="0039592F"/>
    <w:rsid w:val="003A2E6F"/>
    <w:rsid w:val="003A6EAB"/>
    <w:rsid w:val="003B36E2"/>
    <w:rsid w:val="003C3981"/>
    <w:rsid w:val="003C4AFE"/>
    <w:rsid w:val="003C5EEC"/>
    <w:rsid w:val="003D3CE0"/>
    <w:rsid w:val="003D42DF"/>
    <w:rsid w:val="003D4DEF"/>
    <w:rsid w:val="003D6B13"/>
    <w:rsid w:val="003D7434"/>
    <w:rsid w:val="003E1042"/>
    <w:rsid w:val="003E51B2"/>
    <w:rsid w:val="003E5BF7"/>
    <w:rsid w:val="003E5E1E"/>
    <w:rsid w:val="003F0A4B"/>
    <w:rsid w:val="00400EA0"/>
    <w:rsid w:val="00416386"/>
    <w:rsid w:val="0042467C"/>
    <w:rsid w:val="004302A6"/>
    <w:rsid w:val="00430D33"/>
    <w:rsid w:val="00442484"/>
    <w:rsid w:val="0044723C"/>
    <w:rsid w:val="00450ED7"/>
    <w:rsid w:val="00452C55"/>
    <w:rsid w:val="00455E1A"/>
    <w:rsid w:val="00456383"/>
    <w:rsid w:val="0045763E"/>
    <w:rsid w:val="004670E0"/>
    <w:rsid w:val="00474377"/>
    <w:rsid w:val="00493276"/>
    <w:rsid w:val="004B088B"/>
    <w:rsid w:val="004B1B3D"/>
    <w:rsid w:val="004B1F59"/>
    <w:rsid w:val="004C0D52"/>
    <w:rsid w:val="004C64C6"/>
    <w:rsid w:val="004D2371"/>
    <w:rsid w:val="004D7531"/>
    <w:rsid w:val="004E146F"/>
    <w:rsid w:val="004F6DA1"/>
    <w:rsid w:val="00500EBC"/>
    <w:rsid w:val="00502637"/>
    <w:rsid w:val="005028B7"/>
    <w:rsid w:val="00505376"/>
    <w:rsid w:val="0050568D"/>
    <w:rsid w:val="00505AC0"/>
    <w:rsid w:val="00507BEB"/>
    <w:rsid w:val="00512575"/>
    <w:rsid w:val="00512A15"/>
    <w:rsid w:val="00531974"/>
    <w:rsid w:val="00532416"/>
    <w:rsid w:val="00534FC4"/>
    <w:rsid w:val="00537284"/>
    <w:rsid w:val="00541AA7"/>
    <w:rsid w:val="00550A06"/>
    <w:rsid w:val="005533A3"/>
    <w:rsid w:val="005538BC"/>
    <w:rsid w:val="00557E04"/>
    <w:rsid w:val="00565AAB"/>
    <w:rsid w:val="00567B2B"/>
    <w:rsid w:val="0058259D"/>
    <w:rsid w:val="00582964"/>
    <w:rsid w:val="00586295"/>
    <w:rsid w:val="005A05E4"/>
    <w:rsid w:val="005B279E"/>
    <w:rsid w:val="005B3CA5"/>
    <w:rsid w:val="005B3F0C"/>
    <w:rsid w:val="005C0327"/>
    <w:rsid w:val="005C0C9B"/>
    <w:rsid w:val="005C1C77"/>
    <w:rsid w:val="005C6D12"/>
    <w:rsid w:val="005D22B5"/>
    <w:rsid w:val="005D2A04"/>
    <w:rsid w:val="005D2CFA"/>
    <w:rsid w:val="005E2365"/>
    <w:rsid w:val="006003F5"/>
    <w:rsid w:val="00602D3B"/>
    <w:rsid w:val="006055A4"/>
    <w:rsid w:val="006061FA"/>
    <w:rsid w:val="0060792C"/>
    <w:rsid w:val="00613518"/>
    <w:rsid w:val="006261BE"/>
    <w:rsid w:val="00627004"/>
    <w:rsid w:val="00633580"/>
    <w:rsid w:val="006405D4"/>
    <w:rsid w:val="0064129E"/>
    <w:rsid w:val="0064415B"/>
    <w:rsid w:val="00644F4C"/>
    <w:rsid w:val="00645798"/>
    <w:rsid w:val="00653607"/>
    <w:rsid w:val="0065639B"/>
    <w:rsid w:val="00657F91"/>
    <w:rsid w:val="006605B8"/>
    <w:rsid w:val="0066116B"/>
    <w:rsid w:val="00662BFC"/>
    <w:rsid w:val="00664244"/>
    <w:rsid w:val="00664EB3"/>
    <w:rsid w:val="006736DF"/>
    <w:rsid w:val="00674302"/>
    <w:rsid w:val="00675464"/>
    <w:rsid w:val="006762F9"/>
    <w:rsid w:val="0068490D"/>
    <w:rsid w:val="006870B1"/>
    <w:rsid w:val="006962FF"/>
    <w:rsid w:val="006B0E32"/>
    <w:rsid w:val="006B606B"/>
    <w:rsid w:val="006B6B4B"/>
    <w:rsid w:val="006C31DA"/>
    <w:rsid w:val="006C4129"/>
    <w:rsid w:val="006C5576"/>
    <w:rsid w:val="006D1535"/>
    <w:rsid w:val="006D2265"/>
    <w:rsid w:val="006D4345"/>
    <w:rsid w:val="006D5EEC"/>
    <w:rsid w:val="006D68C9"/>
    <w:rsid w:val="006D6AFF"/>
    <w:rsid w:val="006E04A6"/>
    <w:rsid w:val="006E0B7F"/>
    <w:rsid w:val="006E0E76"/>
    <w:rsid w:val="006E2FD7"/>
    <w:rsid w:val="006F4447"/>
    <w:rsid w:val="006F60C3"/>
    <w:rsid w:val="0070073E"/>
    <w:rsid w:val="007014F9"/>
    <w:rsid w:val="00704F6F"/>
    <w:rsid w:val="0071602F"/>
    <w:rsid w:val="00717D18"/>
    <w:rsid w:val="00725383"/>
    <w:rsid w:val="00725A14"/>
    <w:rsid w:val="00727002"/>
    <w:rsid w:val="00727B4B"/>
    <w:rsid w:val="00733506"/>
    <w:rsid w:val="00735D76"/>
    <w:rsid w:val="00737365"/>
    <w:rsid w:val="0074039F"/>
    <w:rsid w:val="0074125A"/>
    <w:rsid w:val="00743272"/>
    <w:rsid w:val="007434E5"/>
    <w:rsid w:val="00745A75"/>
    <w:rsid w:val="00746956"/>
    <w:rsid w:val="00746BA9"/>
    <w:rsid w:val="00750B6F"/>
    <w:rsid w:val="007611FE"/>
    <w:rsid w:val="0076145E"/>
    <w:rsid w:val="00765901"/>
    <w:rsid w:val="0077003A"/>
    <w:rsid w:val="00776E02"/>
    <w:rsid w:val="00780935"/>
    <w:rsid w:val="00781B5C"/>
    <w:rsid w:val="00786082"/>
    <w:rsid w:val="00791022"/>
    <w:rsid w:val="00793AC8"/>
    <w:rsid w:val="007A7D60"/>
    <w:rsid w:val="007B1F0F"/>
    <w:rsid w:val="007B350F"/>
    <w:rsid w:val="007B36B0"/>
    <w:rsid w:val="007C2A20"/>
    <w:rsid w:val="007D0B49"/>
    <w:rsid w:val="007D113B"/>
    <w:rsid w:val="007D17DA"/>
    <w:rsid w:val="007D5D93"/>
    <w:rsid w:val="007F68AD"/>
    <w:rsid w:val="00802A64"/>
    <w:rsid w:val="008040ED"/>
    <w:rsid w:val="008045F0"/>
    <w:rsid w:val="00811EF4"/>
    <w:rsid w:val="008142AC"/>
    <w:rsid w:val="008235BF"/>
    <w:rsid w:val="00823A93"/>
    <w:rsid w:val="0082457B"/>
    <w:rsid w:val="00826A51"/>
    <w:rsid w:val="00826BDB"/>
    <w:rsid w:val="008273F4"/>
    <w:rsid w:val="00833813"/>
    <w:rsid w:val="0083743C"/>
    <w:rsid w:val="00837E80"/>
    <w:rsid w:val="0084260D"/>
    <w:rsid w:val="00844C68"/>
    <w:rsid w:val="00852AC7"/>
    <w:rsid w:val="00857F13"/>
    <w:rsid w:val="00863480"/>
    <w:rsid w:val="00864119"/>
    <w:rsid w:val="008661DE"/>
    <w:rsid w:val="0086713F"/>
    <w:rsid w:val="00872264"/>
    <w:rsid w:val="00875BD3"/>
    <w:rsid w:val="00887F85"/>
    <w:rsid w:val="00891762"/>
    <w:rsid w:val="00891FD5"/>
    <w:rsid w:val="008931F5"/>
    <w:rsid w:val="00893BA7"/>
    <w:rsid w:val="00895B73"/>
    <w:rsid w:val="008A2FBB"/>
    <w:rsid w:val="008A4919"/>
    <w:rsid w:val="008B021B"/>
    <w:rsid w:val="008C3FA7"/>
    <w:rsid w:val="008E0B32"/>
    <w:rsid w:val="008E64BD"/>
    <w:rsid w:val="008E6CF1"/>
    <w:rsid w:val="008F2C97"/>
    <w:rsid w:val="008F402D"/>
    <w:rsid w:val="008F515F"/>
    <w:rsid w:val="0091105C"/>
    <w:rsid w:val="009200D2"/>
    <w:rsid w:val="00920C9E"/>
    <w:rsid w:val="0092707F"/>
    <w:rsid w:val="00933BCC"/>
    <w:rsid w:val="009409AD"/>
    <w:rsid w:val="00943C2E"/>
    <w:rsid w:val="00944A8E"/>
    <w:rsid w:val="00952248"/>
    <w:rsid w:val="0095274A"/>
    <w:rsid w:val="00957FDB"/>
    <w:rsid w:val="00961E4A"/>
    <w:rsid w:val="009647E6"/>
    <w:rsid w:val="0096601E"/>
    <w:rsid w:val="00975344"/>
    <w:rsid w:val="009818B6"/>
    <w:rsid w:val="00984FCF"/>
    <w:rsid w:val="00986E2B"/>
    <w:rsid w:val="009875BB"/>
    <w:rsid w:val="0099220F"/>
    <w:rsid w:val="009A3A2A"/>
    <w:rsid w:val="009A4D8D"/>
    <w:rsid w:val="009B066E"/>
    <w:rsid w:val="009C17FC"/>
    <w:rsid w:val="009C4EDB"/>
    <w:rsid w:val="009C6CD6"/>
    <w:rsid w:val="009D016A"/>
    <w:rsid w:val="009D3DF0"/>
    <w:rsid w:val="009D6716"/>
    <w:rsid w:val="009E154F"/>
    <w:rsid w:val="009E291E"/>
    <w:rsid w:val="009E36D8"/>
    <w:rsid w:val="009E61F1"/>
    <w:rsid w:val="009E6549"/>
    <w:rsid w:val="009F799B"/>
    <w:rsid w:val="00A023C5"/>
    <w:rsid w:val="00A04D67"/>
    <w:rsid w:val="00A071FE"/>
    <w:rsid w:val="00A2029E"/>
    <w:rsid w:val="00A22180"/>
    <w:rsid w:val="00A33434"/>
    <w:rsid w:val="00A34AFB"/>
    <w:rsid w:val="00A35F0D"/>
    <w:rsid w:val="00A45B1E"/>
    <w:rsid w:val="00A46567"/>
    <w:rsid w:val="00A52EF8"/>
    <w:rsid w:val="00A57B2D"/>
    <w:rsid w:val="00A651B5"/>
    <w:rsid w:val="00A72EEB"/>
    <w:rsid w:val="00A87087"/>
    <w:rsid w:val="00A87E21"/>
    <w:rsid w:val="00A92064"/>
    <w:rsid w:val="00A93188"/>
    <w:rsid w:val="00A935C5"/>
    <w:rsid w:val="00A93B6E"/>
    <w:rsid w:val="00AA015B"/>
    <w:rsid w:val="00AA6E19"/>
    <w:rsid w:val="00AB4B97"/>
    <w:rsid w:val="00AB623E"/>
    <w:rsid w:val="00AC22C5"/>
    <w:rsid w:val="00AD026D"/>
    <w:rsid w:val="00AD3249"/>
    <w:rsid w:val="00AF5E19"/>
    <w:rsid w:val="00AF7EB9"/>
    <w:rsid w:val="00B02AE5"/>
    <w:rsid w:val="00B10323"/>
    <w:rsid w:val="00B11745"/>
    <w:rsid w:val="00B12749"/>
    <w:rsid w:val="00B14C67"/>
    <w:rsid w:val="00B16703"/>
    <w:rsid w:val="00B26DD5"/>
    <w:rsid w:val="00B31E5C"/>
    <w:rsid w:val="00B35F64"/>
    <w:rsid w:val="00B365A3"/>
    <w:rsid w:val="00B40853"/>
    <w:rsid w:val="00B51990"/>
    <w:rsid w:val="00B52F61"/>
    <w:rsid w:val="00B5538E"/>
    <w:rsid w:val="00B555C7"/>
    <w:rsid w:val="00B66643"/>
    <w:rsid w:val="00B72B58"/>
    <w:rsid w:val="00B765E0"/>
    <w:rsid w:val="00B85C14"/>
    <w:rsid w:val="00B878FD"/>
    <w:rsid w:val="00B87C00"/>
    <w:rsid w:val="00B93E4D"/>
    <w:rsid w:val="00B953D1"/>
    <w:rsid w:val="00BA195E"/>
    <w:rsid w:val="00BA41B9"/>
    <w:rsid w:val="00BB16EE"/>
    <w:rsid w:val="00BC3DEE"/>
    <w:rsid w:val="00BD1AAB"/>
    <w:rsid w:val="00BD5BAA"/>
    <w:rsid w:val="00BD72E1"/>
    <w:rsid w:val="00BE62F8"/>
    <w:rsid w:val="00BE77B3"/>
    <w:rsid w:val="00BF1FAE"/>
    <w:rsid w:val="00BF2E62"/>
    <w:rsid w:val="00C078EB"/>
    <w:rsid w:val="00C15DBF"/>
    <w:rsid w:val="00C1627D"/>
    <w:rsid w:val="00C167AB"/>
    <w:rsid w:val="00C16A72"/>
    <w:rsid w:val="00C16B06"/>
    <w:rsid w:val="00C17BCE"/>
    <w:rsid w:val="00C2148E"/>
    <w:rsid w:val="00C21691"/>
    <w:rsid w:val="00C247FD"/>
    <w:rsid w:val="00C307C9"/>
    <w:rsid w:val="00C353A4"/>
    <w:rsid w:val="00C35DD3"/>
    <w:rsid w:val="00C419C9"/>
    <w:rsid w:val="00C52C6C"/>
    <w:rsid w:val="00C52FD7"/>
    <w:rsid w:val="00C55A11"/>
    <w:rsid w:val="00C67AA6"/>
    <w:rsid w:val="00C80B2F"/>
    <w:rsid w:val="00C83F64"/>
    <w:rsid w:val="00C87917"/>
    <w:rsid w:val="00C93CD4"/>
    <w:rsid w:val="00CA4048"/>
    <w:rsid w:val="00CA60E5"/>
    <w:rsid w:val="00CC1821"/>
    <w:rsid w:val="00CC63E2"/>
    <w:rsid w:val="00CC6A24"/>
    <w:rsid w:val="00CC6C47"/>
    <w:rsid w:val="00CC70E5"/>
    <w:rsid w:val="00CD3979"/>
    <w:rsid w:val="00CD3D4A"/>
    <w:rsid w:val="00CD4078"/>
    <w:rsid w:val="00CD60E5"/>
    <w:rsid w:val="00CD6F61"/>
    <w:rsid w:val="00CD7137"/>
    <w:rsid w:val="00CE45E8"/>
    <w:rsid w:val="00CE650A"/>
    <w:rsid w:val="00CF2568"/>
    <w:rsid w:val="00CF559C"/>
    <w:rsid w:val="00CF7FCD"/>
    <w:rsid w:val="00D015DC"/>
    <w:rsid w:val="00D021B0"/>
    <w:rsid w:val="00D058C9"/>
    <w:rsid w:val="00D06524"/>
    <w:rsid w:val="00D11BB7"/>
    <w:rsid w:val="00D17477"/>
    <w:rsid w:val="00D24CA4"/>
    <w:rsid w:val="00D26217"/>
    <w:rsid w:val="00D3286B"/>
    <w:rsid w:val="00D40344"/>
    <w:rsid w:val="00D475BB"/>
    <w:rsid w:val="00D54979"/>
    <w:rsid w:val="00D573F0"/>
    <w:rsid w:val="00D61251"/>
    <w:rsid w:val="00D716C6"/>
    <w:rsid w:val="00D7228E"/>
    <w:rsid w:val="00D7368C"/>
    <w:rsid w:val="00D853F9"/>
    <w:rsid w:val="00D9016C"/>
    <w:rsid w:val="00D92ECF"/>
    <w:rsid w:val="00D94D86"/>
    <w:rsid w:val="00D9539F"/>
    <w:rsid w:val="00D960A2"/>
    <w:rsid w:val="00D973F6"/>
    <w:rsid w:val="00DA1C2C"/>
    <w:rsid w:val="00DA68C3"/>
    <w:rsid w:val="00DC301E"/>
    <w:rsid w:val="00DC3449"/>
    <w:rsid w:val="00DD34F1"/>
    <w:rsid w:val="00DD60C1"/>
    <w:rsid w:val="00DD6258"/>
    <w:rsid w:val="00DE09D2"/>
    <w:rsid w:val="00DE716D"/>
    <w:rsid w:val="00DE796D"/>
    <w:rsid w:val="00DF5391"/>
    <w:rsid w:val="00DF5494"/>
    <w:rsid w:val="00DF6313"/>
    <w:rsid w:val="00E001AA"/>
    <w:rsid w:val="00E126DE"/>
    <w:rsid w:val="00E137FE"/>
    <w:rsid w:val="00E31EFC"/>
    <w:rsid w:val="00E363DE"/>
    <w:rsid w:val="00E36581"/>
    <w:rsid w:val="00E37ACD"/>
    <w:rsid w:val="00E4447A"/>
    <w:rsid w:val="00E46D40"/>
    <w:rsid w:val="00E527EF"/>
    <w:rsid w:val="00E55137"/>
    <w:rsid w:val="00E63107"/>
    <w:rsid w:val="00E660EE"/>
    <w:rsid w:val="00E73ADE"/>
    <w:rsid w:val="00E74355"/>
    <w:rsid w:val="00E74FAB"/>
    <w:rsid w:val="00E80D7E"/>
    <w:rsid w:val="00E86081"/>
    <w:rsid w:val="00E87F70"/>
    <w:rsid w:val="00E936B1"/>
    <w:rsid w:val="00E9559C"/>
    <w:rsid w:val="00E97461"/>
    <w:rsid w:val="00E978E5"/>
    <w:rsid w:val="00EA4AF8"/>
    <w:rsid w:val="00EB15FA"/>
    <w:rsid w:val="00EB2022"/>
    <w:rsid w:val="00EB31D4"/>
    <w:rsid w:val="00EB46DC"/>
    <w:rsid w:val="00EC06A7"/>
    <w:rsid w:val="00EC2066"/>
    <w:rsid w:val="00EC337A"/>
    <w:rsid w:val="00EC38B5"/>
    <w:rsid w:val="00EC52C9"/>
    <w:rsid w:val="00ED0851"/>
    <w:rsid w:val="00ED1328"/>
    <w:rsid w:val="00ED70D7"/>
    <w:rsid w:val="00ED7C33"/>
    <w:rsid w:val="00EE47F3"/>
    <w:rsid w:val="00EE6EB1"/>
    <w:rsid w:val="00EF11A2"/>
    <w:rsid w:val="00F00FFA"/>
    <w:rsid w:val="00F05DAA"/>
    <w:rsid w:val="00F11FEB"/>
    <w:rsid w:val="00F15AB7"/>
    <w:rsid w:val="00F16785"/>
    <w:rsid w:val="00F2237E"/>
    <w:rsid w:val="00F2335D"/>
    <w:rsid w:val="00F2732F"/>
    <w:rsid w:val="00F30181"/>
    <w:rsid w:val="00F32426"/>
    <w:rsid w:val="00F468D5"/>
    <w:rsid w:val="00F46D52"/>
    <w:rsid w:val="00F565EA"/>
    <w:rsid w:val="00F57027"/>
    <w:rsid w:val="00F64080"/>
    <w:rsid w:val="00F657C0"/>
    <w:rsid w:val="00F71DB9"/>
    <w:rsid w:val="00F760B1"/>
    <w:rsid w:val="00FA0910"/>
    <w:rsid w:val="00FA0FB0"/>
    <w:rsid w:val="00FA1787"/>
    <w:rsid w:val="00FA50B9"/>
    <w:rsid w:val="00FB27DF"/>
    <w:rsid w:val="00FB37DA"/>
    <w:rsid w:val="00FC12F8"/>
    <w:rsid w:val="00FC1FD9"/>
    <w:rsid w:val="00FD5E96"/>
    <w:rsid w:val="00FD6FB1"/>
    <w:rsid w:val="00FE2BAD"/>
    <w:rsid w:val="00FE34EA"/>
    <w:rsid w:val="00FE5A20"/>
    <w:rsid w:val="00FF25F6"/>
    <w:rsid w:val="00FF7D8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getmedia/7be05f88-01dc-46bc-96fd-fee5b45aac41/MP_zpusobile-vydaje-v4_cista.pdf?ext=.pdf" TargetMode="External"/><Relationship Id="rId18" Type="http://schemas.openxmlformats.org/officeDocument/2006/relationships/hyperlink" Target="http://www.interreg-central.eu/Content.Node/implement/Implementation_Documents.html" TargetMode="External"/><Relationship Id="rId26" Type="http://schemas.openxmlformats.org/officeDocument/2006/relationships/hyperlink" Target="http://www.interreg-danube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europe.eu/about-us/logo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terreg-danube.eu/relevant-documents/documents-for-project-implementation" TargetMode="External"/><Relationship Id="rId17" Type="http://schemas.openxmlformats.org/officeDocument/2006/relationships/hyperlink" Target="http://www.interregeurope.eu/projects/project-development/" TargetMode="External"/><Relationship Id="rId25" Type="http://schemas.openxmlformats.org/officeDocument/2006/relationships/hyperlink" Target="http://www.interreg-central.e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r.cz/cs/eus/nalezitosti-dokladovani/" TargetMode="External"/><Relationship Id="rId20" Type="http://schemas.openxmlformats.org/officeDocument/2006/relationships/hyperlink" Target="http://www.interreg-danube.eu/relevant-documents/documents-for-project-implementation" TargetMode="External"/><Relationship Id="rId29" Type="http://schemas.openxmlformats.org/officeDocument/2006/relationships/hyperlink" Target="mailto:nadnarodni@mmr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central.eu/Content.Node/apply/Document_Overview.html" TargetMode="External"/><Relationship Id="rId24" Type="http://schemas.openxmlformats.org/officeDocument/2006/relationships/hyperlink" Target="http://www.interregeurope.eu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rr.cz/cs/eus/mzdove-sazby-typovych-pozic/" TargetMode="External"/><Relationship Id="rId23" Type="http://schemas.openxmlformats.org/officeDocument/2006/relationships/hyperlink" Target="http://www.interreg-danube.eu/relevant-documents/documents-for-project-implementation" TargetMode="External"/><Relationship Id="rId28" Type="http://schemas.openxmlformats.org/officeDocument/2006/relationships/hyperlink" Target="http://www.crr.cz" TargetMode="External"/><Relationship Id="rId10" Type="http://schemas.openxmlformats.org/officeDocument/2006/relationships/hyperlink" Target="http://www.interreg-central.eu/Content.Node/implement/Implementation_Documents.html" TargetMode="External"/><Relationship Id="rId19" Type="http://schemas.openxmlformats.org/officeDocument/2006/relationships/hyperlink" Target="http://www.interreg-central.eu/Content.Node/apply/Document_Overview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projects/project-development/" TargetMode="External"/><Relationship Id="rId14" Type="http://schemas.openxmlformats.org/officeDocument/2006/relationships/hyperlink" Target="http://www.dotaceeu.cz/getmedia/7be05f88-01dc-46bc-96fd-fee5b45aac41/MP_zpusobile-vydaje-v4_cista.pdf?ext=.pdf" TargetMode="External"/><Relationship Id="rId22" Type="http://schemas.openxmlformats.org/officeDocument/2006/relationships/hyperlink" Target="http://www.interreg-central.eu/Content.Node/implement/Implementation_Documents.html" TargetMode="External"/><Relationship Id="rId27" Type="http://schemas.openxmlformats.org/officeDocument/2006/relationships/hyperlink" Target="http://www.crr.cz/cs/eus/nalezitosti-dokladovani/" TargetMode="External"/><Relationship Id="rId30" Type="http://schemas.openxmlformats.org/officeDocument/2006/relationships/hyperlink" Target="http://www.crr.cz/cs/eus/nalezitosti-dokladovani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ms.interreg-central.eu/app/main?execution=e1s1" TargetMode="External"/><Relationship Id="rId1" Type="http://schemas.openxmlformats.org/officeDocument/2006/relationships/hyperlink" Target="https://www.iolf.eu/Account/Login?ReturnUrl=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3AD4-A2E2-4A80-8FA1-184B662F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9704</Words>
  <Characters>57258</Characters>
  <Application>Microsoft Office Word</Application>
  <DocSecurity>0</DocSecurity>
  <Lines>477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Pavel Lukeš</cp:lastModifiedBy>
  <cp:revision>3</cp:revision>
  <cp:lastPrinted>2017-04-25T07:58:00Z</cp:lastPrinted>
  <dcterms:created xsi:type="dcterms:W3CDTF">2017-04-27T08:18:00Z</dcterms:created>
  <dcterms:modified xsi:type="dcterms:W3CDTF">2017-04-28T06:05:00Z</dcterms:modified>
</cp:coreProperties>
</file>